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33" w:rsidRPr="00E227F4" w:rsidRDefault="00722033" w:rsidP="00722033">
      <w:pPr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10112" w:type="dxa"/>
        <w:jc w:val="center"/>
        <w:tblLook w:val="01E0" w:firstRow="1" w:lastRow="1" w:firstColumn="1" w:lastColumn="1" w:noHBand="0" w:noVBand="0"/>
      </w:tblPr>
      <w:tblGrid>
        <w:gridCol w:w="1296"/>
        <w:gridCol w:w="7504"/>
        <w:gridCol w:w="1330"/>
      </w:tblGrid>
      <w:tr w:rsidR="007D7CD2" w:rsidRPr="00E227F4" w:rsidTr="00475509">
        <w:trPr>
          <w:trHeight w:val="749"/>
          <w:jc w:val="center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27F4">
              <w:rPr>
                <w:noProof/>
                <w:lang w:val="en-US" w:eastAsia="en-US"/>
              </w:rPr>
              <w:drawing>
                <wp:inline distT="0" distB="0" distL="0" distR="0">
                  <wp:extent cx="681355" cy="1078230"/>
                  <wp:effectExtent l="0" t="0" r="4445" b="7620"/>
                  <wp:docPr id="5" name="Picture 5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vAlign w:val="bottom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227F4">
              <w:rPr>
                <w:b/>
                <w:sz w:val="18"/>
                <w:szCs w:val="18"/>
              </w:rPr>
              <w:t>ROMÂNIA</w:t>
            </w:r>
          </w:p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227F4">
              <w:rPr>
                <w:b/>
                <w:sz w:val="20"/>
                <w:szCs w:val="20"/>
              </w:rPr>
              <w:t>JUDEŢUL BACĂU</w:t>
            </w:r>
          </w:p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E227F4">
              <w:rPr>
                <w:b/>
                <w:sz w:val="28"/>
                <w:szCs w:val="28"/>
              </w:rPr>
              <w:t>ORAȘUL DĂRMĂNEȘTI</w:t>
            </w:r>
          </w:p>
        </w:tc>
        <w:tc>
          <w:tcPr>
            <w:tcW w:w="1341" w:type="dxa"/>
            <w:vMerge w:val="restart"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E227F4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707390" cy="1078230"/>
                  <wp:effectExtent l="0" t="0" r="0" b="7620"/>
                  <wp:docPr id="4" name="Picture 4" descr="stema_darman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tema_darman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CD2" w:rsidRPr="00E227F4" w:rsidTr="00475509">
        <w:trPr>
          <w:trHeight w:val="308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7476" w:type="dxa"/>
            <w:vAlign w:val="bottom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227F4">
              <w:rPr>
                <w:b/>
                <w:sz w:val="28"/>
                <w:szCs w:val="28"/>
              </w:rPr>
              <w:t>PRIMAR</w:t>
            </w:r>
          </w:p>
        </w:tc>
        <w:tc>
          <w:tcPr>
            <w:tcW w:w="1341" w:type="dxa"/>
            <w:vMerge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7D7CD2" w:rsidRPr="00E227F4" w:rsidTr="00475509">
        <w:trPr>
          <w:trHeight w:val="181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476" w:type="dxa"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b/>
                <w:sz w:val="2"/>
                <w:szCs w:val="2"/>
              </w:rPr>
            </w:pPr>
            <w:r w:rsidRPr="00E227F4"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4.95pt;height:8.15pt" o:ole="">
                  <v:imagedata r:id="rId8" o:title=""/>
                </v:shape>
                <o:OLEObject Type="Embed" ProgID="CorelDraw.Graphic.17" ShapeID="_x0000_i1025" DrawAspect="Content" ObjectID="_1733326387" r:id="rId9"/>
              </w:object>
            </w:r>
          </w:p>
        </w:tc>
        <w:tc>
          <w:tcPr>
            <w:tcW w:w="1341" w:type="dxa"/>
            <w:vMerge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ind w:left="-213" w:right="-131"/>
              <w:jc w:val="center"/>
            </w:pPr>
          </w:p>
        </w:tc>
      </w:tr>
      <w:tr w:rsidR="007D7CD2" w:rsidRPr="00E227F4" w:rsidTr="00475509">
        <w:trPr>
          <w:trHeight w:val="491"/>
          <w:jc w:val="center"/>
        </w:trPr>
        <w:tc>
          <w:tcPr>
            <w:tcW w:w="1295" w:type="dxa"/>
            <w:vMerge/>
            <w:shd w:val="clear" w:color="auto" w:fill="auto"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476" w:type="dxa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color w:val="000000"/>
                <w:sz w:val="14"/>
                <w:szCs w:val="14"/>
              </w:rPr>
            </w:pPr>
            <w:r w:rsidRPr="00E227F4">
              <w:rPr>
                <w:color w:val="000000"/>
                <w:sz w:val="14"/>
                <w:szCs w:val="14"/>
              </w:rPr>
              <w:t>Cod de identificare fiscală: 4352921</w:t>
            </w:r>
          </w:p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E227F4">
              <w:rPr>
                <w:color w:val="000000"/>
                <w:sz w:val="14"/>
                <w:szCs w:val="14"/>
              </w:rPr>
              <w:t>www.orasuldarmanesti.ro, e-mail: primaria_darmanesti@yahoo.com</w:t>
            </w:r>
          </w:p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27F4">
              <w:rPr>
                <w:sz w:val="14"/>
                <w:szCs w:val="14"/>
              </w:rPr>
              <w:t xml:space="preserve">Strada Muncii, numărul 16, cod </w:t>
            </w:r>
            <w:proofErr w:type="spellStart"/>
            <w:r w:rsidRPr="00E227F4">
              <w:rPr>
                <w:sz w:val="14"/>
                <w:szCs w:val="14"/>
              </w:rPr>
              <w:t>poştal</w:t>
            </w:r>
            <w:proofErr w:type="spellEnd"/>
            <w:r w:rsidRPr="00E227F4">
              <w:rPr>
                <w:sz w:val="14"/>
                <w:szCs w:val="14"/>
              </w:rPr>
              <w:t>: 605300, Tel:  0234.356656; Fax : 0234.356546</w:t>
            </w:r>
          </w:p>
        </w:tc>
        <w:tc>
          <w:tcPr>
            <w:tcW w:w="1341" w:type="dxa"/>
            <w:vMerge/>
            <w:vAlign w:val="center"/>
          </w:tcPr>
          <w:p w:rsidR="007D7CD2" w:rsidRPr="00E227F4" w:rsidRDefault="007D7CD2" w:rsidP="00475509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D318F8" w:rsidRPr="00E227F4" w:rsidRDefault="00D318F8" w:rsidP="009557FA">
      <w:pPr>
        <w:pStyle w:val="NoSpacing"/>
        <w:rPr>
          <w:rFonts w:ascii="Times New Roman" w:hAnsi="Times New Roman"/>
          <w:sz w:val="10"/>
          <w:szCs w:val="10"/>
        </w:rPr>
      </w:pPr>
    </w:p>
    <w:p w:rsidR="00D318F8" w:rsidRPr="00E227F4" w:rsidRDefault="00D318F8" w:rsidP="00D318F8">
      <w:pPr>
        <w:rPr>
          <w:rFonts w:ascii="Times New Roman" w:hAnsi="Times New Roman" w:cs="Times New Roman"/>
        </w:rPr>
      </w:pPr>
    </w:p>
    <w:p w:rsidR="00D318F8" w:rsidRPr="00E227F4" w:rsidRDefault="00DE0448" w:rsidP="00B079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Pr="00E227F4">
        <w:rPr>
          <w:rFonts w:ascii="Times New Roman" w:hAnsi="Times New Roman" w:cs="Times New Roman"/>
        </w:rPr>
        <w:tab/>
      </w:r>
      <w:r w:rsidR="00B4245F" w:rsidRPr="00E227F4">
        <w:rPr>
          <w:rFonts w:ascii="Times New Roman" w:hAnsi="Times New Roman" w:cs="Times New Roman"/>
          <w:b/>
          <w:sz w:val="24"/>
          <w:szCs w:val="24"/>
        </w:rPr>
        <w:t>Anexa nr</w:t>
      </w:r>
      <w:r w:rsidR="00B24EBF">
        <w:rPr>
          <w:rFonts w:ascii="Times New Roman" w:hAnsi="Times New Roman" w:cs="Times New Roman"/>
          <w:b/>
          <w:sz w:val="24"/>
          <w:szCs w:val="24"/>
        </w:rPr>
        <w:t>. 2</w:t>
      </w:r>
      <w:r w:rsidR="00862F6F" w:rsidRPr="00E22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7F4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DA57E1">
        <w:rPr>
          <w:rFonts w:ascii="Times New Roman" w:hAnsi="Times New Roman" w:cs="Times New Roman"/>
          <w:b/>
          <w:sz w:val="24"/>
          <w:szCs w:val="24"/>
        </w:rPr>
        <w:t>P</w:t>
      </w:r>
      <w:r w:rsidR="0012335A" w:rsidRPr="00E227F4">
        <w:rPr>
          <w:rFonts w:ascii="Times New Roman" w:hAnsi="Times New Roman" w:cs="Times New Roman"/>
          <w:b/>
          <w:sz w:val="24"/>
          <w:szCs w:val="24"/>
        </w:rPr>
        <w:t>H</w:t>
      </w:r>
      <w:r w:rsidR="00DD3DE5">
        <w:rPr>
          <w:rFonts w:ascii="Times New Roman" w:hAnsi="Times New Roman" w:cs="Times New Roman"/>
          <w:b/>
          <w:sz w:val="24"/>
          <w:szCs w:val="24"/>
        </w:rPr>
        <w:t xml:space="preserve">CL nr. </w:t>
      </w:r>
      <w:r w:rsidR="00C9380A">
        <w:rPr>
          <w:rFonts w:ascii="Times New Roman" w:hAnsi="Times New Roman" w:cs="Times New Roman"/>
          <w:b/>
          <w:sz w:val="24"/>
          <w:szCs w:val="24"/>
        </w:rPr>
        <w:t>______</w:t>
      </w:r>
      <w:r w:rsidR="00DD3DE5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D000B2">
        <w:rPr>
          <w:rFonts w:ascii="Times New Roman" w:hAnsi="Times New Roman" w:cs="Times New Roman"/>
          <w:b/>
          <w:sz w:val="24"/>
          <w:szCs w:val="24"/>
        </w:rPr>
        <w:t>__</w:t>
      </w:r>
      <w:r w:rsidR="00C9380A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D318F8" w:rsidRPr="00E227F4" w:rsidRDefault="00D318F8" w:rsidP="00D318F8">
      <w:pPr>
        <w:rPr>
          <w:rFonts w:ascii="Times New Roman" w:hAnsi="Times New Roman" w:cs="Times New Roman"/>
        </w:rPr>
      </w:pPr>
    </w:p>
    <w:p w:rsidR="00D318F8" w:rsidRPr="00E227F4" w:rsidRDefault="00D318F8" w:rsidP="00D318F8">
      <w:pPr>
        <w:rPr>
          <w:rFonts w:ascii="Times New Roman" w:hAnsi="Times New Roman" w:cs="Times New Roman"/>
        </w:rPr>
      </w:pPr>
    </w:p>
    <w:p w:rsidR="00D318F8" w:rsidRPr="00E227F4" w:rsidRDefault="00D318F8" w:rsidP="00D318F8">
      <w:pPr>
        <w:rPr>
          <w:rFonts w:ascii="Times New Roman" w:hAnsi="Times New Roman" w:cs="Times New Roman"/>
          <w:sz w:val="36"/>
          <w:szCs w:val="36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27F4">
        <w:rPr>
          <w:rFonts w:ascii="Times New Roman" w:hAnsi="Times New Roman" w:cs="Times New Roman"/>
          <w:b/>
          <w:sz w:val="36"/>
          <w:szCs w:val="36"/>
        </w:rPr>
        <w:t>REGULAMENT DE INSTITUIRE SI ADMINISTRARE A</w:t>
      </w:r>
    </w:p>
    <w:p w:rsidR="00AB56EB" w:rsidRPr="00E227F4" w:rsidRDefault="00FC3F15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TAXEI</w:t>
      </w:r>
      <w:r w:rsidR="00862F6F" w:rsidRPr="00E227F4">
        <w:rPr>
          <w:rFonts w:ascii="Times New Roman" w:hAnsi="Times New Roman" w:cs="Times New Roman"/>
          <w:b/>
          <w:sz w:val="36"/>
          <w:szCs w:val="36"/>
        </w:rPr>
        <w:t xml:space="preserve"> DE SALUBRIZAR</w:t>
      </w:r>
      <w:r w:rsidR="00D318F8" w:rsidRPr="00E227F4">
        <w:rPr>
          <w:rFonts w:ascii="Times New Roman" w:hAnsi="Times New Roman" w:cs="Times New Roman"/>
          <w:b/>
          <w:sz w:val="36"/>
          <w:szCs w:val="36"/>
        </w:rPr>
        <w:t xml:space="preserve">E PENTRU </w:t>
      </w:r>
    </w:p>
    <w:p w:rsidR="00AB56EB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27F4">
        <w:rPr>
          <w:rFonts w:ascii="Times New Roman" w:hAnsi="Times New Roman" w:cs="Times New Roman"/>
          <w:b/>
          <w:sz w:val="36"/>
          <w:szCs w:val="36"/>
        </w:rPr>
        <w:t>PERSOANELE NON</w:t>
      </w:r>
      <w:r w:rsidR="00685A1F" w:rsidRPr="00E227F4">
        <w:rPr>
          <w:rFonts w:ascii="Times New Roman" w:hAnsi="Times New Roman" w:cs="Times New Roman"/>
          <w:b/>
          <w:sz w:val="36"/>
          <w:szCs w:val="36"/>
        </w:rPr>
        <w:t>-</w:t>
      </w:r>
      <w:r w:rsidRPr="00E227F4">
        <w:rPr>
          <w:rFonts w:ascii="Times New Roman" w:hAnsi="Times New Roman" w:cs="Times New Roman"/>
          <w:b/>
          <w:sz w:val="36"/>
          <w:szCs w:val="36"/>
        </w:rPr>
        <w:t>CA</w:t>
      </w:r>
      <w:r w:rsidR="00685A1F" w:rsidRPr="00E227F4">
        <w:rPr>
          <w:rFonts w:ascii="Times New Roman" w:hAnsi="Times New Roman" w:cs="Times New Roman"/>
          <w:b/>
          <w:sz w:val="36"/>
          <w:szCs w:val="36"/>
        </w:rPr>
        <w:t xml:space="preserve">SNICE DE PE RAZA </w:t>
      </w:r>
    </w:p>
    <w:p w:rsidR="009557FA" w:rsidRPr="00E227F4" w:rsidRDefault="00685A1F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27F4">
        <w:rPr>
          <w:rFonts w:ascii="Times New Roman" w:hAnsi="Times New Roman" w:cs="Times New Roman"/>
          <w:b/>
          <w:sz w:val="36"/>
          <w:szCs w:val="36"/>
        </w:rPr>
        <w:t xml:space="preserve">ADMINISTRATIV-TERITORIALA A ORASULUI DARMANESTI </w:t>
      </w: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7F4" w:rsidRPr="00E227F4" w:rsidRDefault="00E227F4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D318F8" w:rsidP="00D318F8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F8" w:rsidRPr="00E227F4" w:rsidRDefault="000602CE" w:rsidP="000602CE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 w:rsidRPr="00E227F4">
        <w:rPr>
          <w:rFonts w:ascii="Times New Roman" w:hAnsi="Times New Roman" w:cs="Times New Roman"/>
          <w:b/>
          <w:sz w:val="28"/>
          <w:szCs w:val="28"/>
        </w:rPr>
        <w:t xml:space="preserve">CAP. I. DISPOZITII GENERALE </w:t>
      </w:r>
    </w:p>
    <w:p w:rsidR="00D318F8" w:rsidRPr="00E227F4" w:rsidRDefault="00D318F8" w:rsidP="00D318F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Conform prevederilor:</w:t>
      </w:r>
    </w:p>
    <w:p w:rsidR="00D318F8" w:rsidRPr="00E227F4" w:rsidRDefault="00D318F8" w:rsidP="004755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Legii nr.273/2006 privind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finanţele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 locale, cu modificările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completările </w:t>
      </w:r>
      <w:r w:rsidR="00512864" w:rsidRPr="00E227F4">
        <w:rPr>
          <w:rFonts w:ascii="Times New Roman" w:hAnsi="Times New Roman"/>
          <w:color w:val="000000"/>
          <w:sz w:val="24"/>
          <w:szCs w:val="24"/>
        </w:rPr>
        <w:t>ulterioare;</w:t>
      </w:r>
    </w:p>
    <w:p w:rsidR="00D318F8" w:rsidRPr="00E227F4" w:rsidRDefault="00D318F8" w:rsidP="004755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>Legii nr. 227/2015 privind Codul Fiscal</w:t>
      </w:r>
      <w:r w:rsidR="004807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07E4" w:rsidRPr="00E227F4">
        <w:rPr>
          <w:rFonts w:ascii="Times New Roman" w:hAnsi="Times New Roman"/>
          <w:color w:val="000000"/>
          <w:sz w:val="24"/>
          <w:szCs w:val="24"/>
        </w:rPr>
        <w:t xml:space="preserve">cu modificările </w:t>
      </w:r>
      <w:proofErr w:type="spellStart"/>
      <w:r w:rsidR="004807E4"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="004807E4" w:rsidRPr="00E227F4">
        <w:rPr>
          <w:rFonts w:ascii="Times New Roman" w:hAnsi="Times New Roman"/>
          <w:color w:val="000000"/>
          <w:sz w:val="24"/>
          <w:szCs w:val="24"/>
        </w:rPr>
        <w:t xml:space="preserve"> completările ulterioare;</w:t>
      </w:r>
    </w:p>
    <w:p w:rsidR="00D318F8" w:rsidRPr="00E227F4" w:rsidRDefault="00D318F8" w:rsidP="004755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>Legii serviciului de salubri</w:t>
      </w:r>
      <w:r w:rsidR="00C90C95" w:rsidRPr="00E227F4">
        <w:rPr>
          <w:rFonts w:ascii="Times New Roman" w:hAnsi="Times New Roman"/>
          <w:color w:val="000000"/>
          <w:sz w:val="24"/>
          <w:szCs w:val="24"/>
        </w:rPr>
        <w:t>z</w:t>
      </w:r>
      <w:r w:rsidRPr="00E227F4">
        <w:rPr>
          <w:rFonts w:ascii="Times New Roman" w:hAnsi="Times New Roman"/>
          <w:color w:val="000000"/>
          <w:sz w:val="24"/>
          <w:szCs w:val="24"/>
        </w:rPr>
        <w:t>are</w:t>
      </w:r>
      <w:r w:rsidR="00C90C95" w:rsidRPr="00E227F4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8557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557FA">
        <w:rPr>
          <w:rFonts w:ascii="Times New Roman" w:hAnsi="Times New Roman"/>
          <w:color w:val="000000"/>
          <w:sz w:val="24"/>
          <w:szCs w:val="24"/>
        </w:rPr>
        <w:t>localităţilor</w:t>
      </w:r>
      <w:proofErr w:type="spellEnd"/>
      <w:r w:rsidR="008557FA">
        <w:rPr>
          <w:rFonts w:ascii="Times New Roman" w:hAnsi="Times New Roman"/>
          <w:color w:val="000000"/>
          <w:sz w:val="24"/>
          <w:szCs w:val="24"/>
        </w:rPr>
        <w:t xml:space="preserve"> nr. 101/2006</w:t>
      </w:r>
      <w:r w:rsidR="00512864"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cu modificările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7FA" w:rsidRPr="00E227F4">
        <w:rPr>
          <w:rFonts w:ascii="Times New Roman" w:hAnsi="Times New Roman"/>
          <w:color w:val="000000"/>
          <w:sz w:val="24"/>
          <w:szCs w:val="24"/>
        </w:rPr>
        <w:t>completările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ulterioare</w:t>
      </w:r>
      <w:r w:rsidR="008557FA">
        <w:rPr>
          <w:rFonts w:ascii="Times New Roman" w:hAnsi="Times New Roman"/>
          <w:color w:val="000000"/>
          <w:sz w:val="24"/>
          <w:szCs w:val="24"/>
        </w:rPr>
        <w:t xml:space="preserve"> - conform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art. 25 „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Finantarea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cheltuielilor de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functionare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, reabilitare si dezvoltare a serviciului de salubrizare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 cheltuielilor de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investiţii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pentru realizarea infrastructurii aferente acestuia se face cu respectarea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legislaţiei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în vigoare privind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Finanţele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 locale, în ceea ce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priveşte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iniţierea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, fundamentarea. promovarea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aprobarea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investiţiilor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publice, a principiilor prevăzute la art. 43 alin. (2) din Legea nr. 51/2006 . precum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 următoarelor principii:</w:t>
      </w:r>
    </w:p>
    <w:p w:rsidR="00D318F8" w:rsidRPr="00E227F4" w:rsidRDefault="00D318F8" w:rsidP="0047550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recuperarea integrală prin tarife, taxe speciale sau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subvenţii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 la bugetul local a costurilor de  operare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investitiilor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pentru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înfiinţarea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>, reab</w:t>
      </w:r>
      <w:r w:rsidR="003F7AA1" w:rsidRPr="00E227F4">
        <w:rPr>
          <w:rFonts w:ascii="Times New Roman" w:hAnsi="Times New Roman"/>
          <w:color w:val="000000"/>
          <w:sz w:val="24"/>
          <w:szCs w:val="24"/>
        </w:rPr>
        <w:t xml:space="preserve">ilitarea </w:t>
      </w:r>
      <w:proofErr w:type="spellStart"/>
      <w:r w:rsidR="003F7AA1"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="003F7AA1" w:rsidRPr="00E227F4">
        <w:rPr>
          <w:rFonts w:ascii="Times New Roman" w:hAnsi="Times New Roman"/>
          <w:color w:val="000000"/>
          <w:sz w:val="24"/>
          <w:szCs w:val="24"/>
        </w:rPr>
        <w:t xml:space="preserve"> dezvoltarea sistemel</w:t>
      </w:r>
      <w:r w:rsidRPr="00E227F4">
        <w:rPr>
          <w:rFonts w:ascii="Times New Roman" w:hAnsi="Times New Roman"/>
          <w:color w:val="000000"/>
          <w:sz w:val="24"/>
          <w:szCs w:val="24"/>
        </w:rPr>
        <w:t>or de</w:t>
      </w:r>
      <w:r w:rsidR="003F7AA1" w:rsidRPr="00E227F4">
        <w:rPr>
          <w:rFonts w:ascii="Times New Roman" w:hAnsi="Times New Roman"/>
          <w:color w:val="000000"/>
          <w:sz w:val="24"/>
          <w:szCs w:val="24"/>
        </w:rPr>
        <w:t xml:space="preserve"> salubrizare;</w:t>
      </w:r>
    </w:p>
    <w:p w:rsidR="00C36046" w:rsidRDefault="003F7AA1" w:rsidP="0047550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7FA" w:rsidRPr="00E227F4">
        <w:rPr>
          <w:rFonts w:ascii="Times New Roman" w:hAnsi="Times New Roman"/>
          <w:color w:val="000000"/>
          <w:sz w:val="24"/>
          <w:szCs w:val="24"/>
        </w:rPr>
        <w:t>menținerea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echilibrului contractual;</w:t>
      </w:r>
    </w:p>
    <w:p w:rsidR="00475509" w:rsidRPr="008557FA" w:rsidRDefault="005B557C" w:rsidP="008557FA">
      <w:pPr>
        <w:pStyle w:val="ListParagraph"/>
        <w:numPr>
          <w:ilvl w:val="0"/>
          <w:numId w:val="15"/>
        </w:numPr>
        <w:tabs>
          <w:tab w:val="left" w:pos="142"/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807E4">
        <w:rPr>
          <w:rFonts w:ascii="Times New Roman" w:hAnsi="Times New Roman"/>
          <w:color w:val="000000"/>
          <w:sz w:val="24"/>
          <w:szCs w:val="24"/>
        </w:rPr>
        <w:t>Ordonanța de urgenta a Guvernului nr. 92/2021 privind regimul deșeurilor</w:t>
      </w:r>
      <w:r w:rsidR="008557FA">
        <w:rPr>
          <w:rFonts w:ascii="Times New Roman" w:hAnsi="Times New Roman"/>
          <w:color w:val="000000"/>
          <w:sz w:val="24"/>
          <w:szCs w:val="24"/>
        </w:rPr>
        <w:t xml:space="preserve"> – conform art.</w:t>
      </w:r>
      <w:r w:rsidR="00475509" w:rsidRPr="008557FA">
        <w:rPr>
          <w:rFonts w:ascii="Times New Roman" w:hAnsi="Times New Roman"/>
          <w:color w:val="000000"/>
          <w:sz w:val="24"/>
          <w:szCs w:val="24"/>
        </w:rPr>
        <w:t>17 alin. (5), lit. h), i) j) și k): ” (1) Autoritățile administrației publice locale ale unităților administrativ-teritoriale sau, după caz, subdiviziunile administrativ-teritoriale ale municipiilor, respectiv asociațiile de dezvoltare intercomunitară ale acestora, au următoarele obligații: (...)</w:t>
      </w:r>
    </w:p>
    <w:p w:rsidR="00475509" w:rsidRDefault="00475509" w:rsidP="00475509">
      <w:pPr>
        <w:pStyle w:val="BodyText"/>
        <w:widowControl w:val="0"/>
        <w:numPr>
          <w:ilvl w:val="0"/>
          <w:numId w:val="17"/>
        </w:numPr>
        <w:tabs>
          <w:tab w:val="left" w:pos="766"/>
        </w:tabs>
        <w:spacing w:line="360" w:lineRule="auto"/>
        <w:ind w:firstLine="480"/>
      </w:pPr>
      <w:r>
        <w:rPr>
          <w:color w:val="000000"/>
          <w:lang w:bidi="ro-RO"/>
        </w:rPr>
        <w:t>să implementeze, cu respectarea prevederilor Ordonanței Guvernului nr. 21/1992 privind protecția consumatorilor, republicată, cu modificările și completările ulterioare, instrumentul Economic «plătește pentru cât arunci», bazat pe cel puțin unul dintre următoarele elemente:</w:t>
      </w:r>
    </w:p>
    <w:p w:rsidR="00475509" w:rsidRDefault="00475509" w:rsidP="00475509">
      <w:pPr>
        <w:pStyle w:val="BodyText"/>
        <w:widowControl w:val="0"/>
        <w:numPr>
          <w:ilvl w:val="0"/>
          <w:numId w:val="18"/>
        </w:numPr>
        <w:tabs>
          <w:tab w:val="left" w:pos="998"/>
        </w:tabs>
        <w:spacing w:line="360" w:lineRule="auto"/>
        <w:ind w:firstLine="640"/>
      </w:pPr>
      <w:r>
        <w:rPr>
          <w:color w:val="000000"/>
          <w:lang w:bidi="ro-RO"/>
        </w:rPr>
        <w:t>volum;</w:t>
      </w:r>
    </w:p>
    <w:p w:rsidR="00475509" w:rsidRDefault="00475509" w:rsidP="00475509">
      <w:pPr>
        <w:pStyle w:val="BodyText"/>
        <w:widowControl w:val="0"/>
        <w:numPr>
          <w:ilvl w:val="0"/>
          <w:numId w:val="18"/>
        </w:numPr>
        <w:tabs>
          <w:tab w:val="left" w:pos="1054"/>
        </w:tabs>
        <w:spacing w:line="360" w:lineRule="auto"/>
        <w:ind w:firstLine="640"/>
      </w:pPr>
      <w:r>
        <w:rPr>
          <w:color w:val="000000"/>
          <w:lang w:bidi="ro-RO"/>
        </w:rPr>
        <w:t>frecvență de colectare;</w:t>
      </w:r>
    </w:p>
    <w:p w:rsidR="00475509" w:rsidRDefault="00475509" w:rsidP="00475509">
      <w:pPr>
        <w:pStyle w:val="BodyText"/>
        <w:widowControl w:val="0"/>
        <w:numPr>
          <w:ilvl w:val="0"/>
          <w:numId w:val="18"/>
        </w:numPr>
        <w:tabs>
          <w:tab w:val="left" w:pos="1118"/>
        </w:tabs>
        <w:spacing w:line="360" w:lineRule="auto"/>
        <w:ind w:firstLine="640"/>
      </w:pPr>
      <w:r>
        <w:rPr>
          <w:color w:val="000000"/>
          <w:lang w:bidi="ro-RO"/>
        </w:rPr>
        <w:t>greutate;</w:t>
      </w:r>
    </w:p>
    <w:p w:rsidR="00475509" w:rsidRPr="00475509" w:rsidRDefault="00475509" w:rsidP="00475509">
      <w:pPr>
        <w:pStyle w:val="BodyText"/>
        <w:widowControl w:val="0"/>
        <w:numPr>
          <w:ilvl w:val="0"/>
          <w:numId w:val="18"/>
        </w:numPr>
        <w:tabs>
          <w:tab w:val="left" w:pos="1118"/>
        </w:tabs>
        <w:spacing w:line="360" w:lineRule="auto"/>
        <w:ind w:firstLine="640"/>
      </w:pPr>
      <w:r>
        <w:rPr>
          <w:color w:val="000000"/>
          <w:lang w:bidi="ro-RO"/>
        </w:rPr>
        <w:t>saci de colectare personalizați;</w:t>
      </w:r>
    </w:p>
    <w:p w:rsidR="004807E4" w:rsidRDefault="004807E4" w:rsidP="00475509">
      <w:pPr>
        <w:pStyle w:val="ListParagraph"/>
        <w:numPr>
          <w:ilvl w:val="0"/>
          <w:numId w:val="15"/>
        </w:numPr>
        <w:tabs>
          <w:tab w:val="left" w:pos="142"/>
          <w:tab w:val="left" w:pos="709"/>
        </w:tabs>
        <w:spacing w:after="0" w:line="360" w:lineRule="auto"/>
        <w:ind w:left="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807E4">
        <w:rPr>
          <w:rFonts w:ascii="Times New Roman" w:hAnsi="Times New Roman"/>
          <w:color w:val="000000"/>
          <w:sz w:val="24"/>
          <w:szCs w:val="24"/>
        </w:rPr>
        <w:t>Ordinul președintelui Autorității Naționale de Reglementare pentru Serviciile Comunitare de Utilități Publice nr. 640/2022 privind aprobarea Normelor metodologice de stabilire, ajustare sau modificare a tarifelor pentru activitățile de salubrizare, precum si de calculare a tarifelor/taxelor distincte pentru gestionarea deșeurilor si a taxelor de salubrizare.</w:t>
      </w:r>
    </w:p>
    <w:p w:rsidR="0023561D" w:rsidRPr="0023561D" w:rsidRDefault="0023561D" w:rsidP="002356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3561D">
        <w:rPr>
          <w:rFonts w:ascii="Times New Roman" w:hAnsi="Times New Roman"/>
          <w:color w:val="000000"/>
          <w:sz w:val="24"/>
          <w:szCs w:val="24"/>
        </w:rPr>
        <w:t>Ordonanța de urgență nr. 133/29.09.2022 pentru modificarea și completarea Ordonanței de urgență a Guvernului nr. 92/2021 privind regimul deșeurilor, precum și a Legii serviciului de salubrizare a localităților nr. 101/2006;</w:t>
      </w:r>
    </w:p>
    <w:p w:rsidR="005B557C" w:rsidRDefault="008557FA" w:rsidP="008557FA">
      <w:pPr>
        <w:pStyle w:val="ListParagraph"/>
        <w:widowControl w:val="0"/>
        <w:autoSpaceDE w:val="0"/>
        <w:autoSpaceDN w:val="0"/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aproba prezentul regulament de stabilire a taxei de salubrizare pentru persoanele non-casnice de pe raza UAT oraș Dărmănești după cum urmează:</w:t>
      </w:r>
    </w:p>
    <w:p w:rsidR="008557FA" w:rsidRDefault="008557FA" w:rsidP="008557FA">
      <w:pPr>
        <w:pStyle w:val="ListParagraph"/>
        <w:widowControl w:val="0"/>
        <w:autoSpaceDE w:val="0"/>
        <w:autoSpaceDN w:val="0"/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57FA" w:rsidRDefault="008557FA" w:rsidP="005B557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6046" w:rsidRPr="00E227F4" w:rsidRDefault="00C36046" w:rsidP="00C36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AA1" w:rsidRPr="00E227F4" w:rsidRDefault="00512864" w:rsidP="00C36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funcţie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natura, 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tipul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caracterist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icile </w:t>
      </w:r>
      <w:r w:rsidR="008557FA" w:rsidRPr="00E227F4">
        <w:rPr>
          <w:rFonts w:ascii="Times New Roman" w:hAnsi="Times New Roman" w:cs="Times New Roman"/>
          <w:color w:val="000000"/>
          <w:sz w:val="24"/>
          <w:szCs w:val="24"/>
        </w:rPr>
        <w:t>activităților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7FA" w:rsidRPr="00E227F4">
        <w:rPr>
          <w:rFonts w:ascii="Times New Roman" w:hAnsi="Times New Roman" w:cs="Times New Roman"/>
          <w:color w:val="000000"/>
          <w:sz w:val="24"/>
          <w:szCs w:val="24"/>
        </w:rPr>
        <w:t>desfășurate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5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erviciul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de salubrizare se realizează,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indiferent de forma de gestiune adoptată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numai pe baza unor contracte de prestare a serviciului încheiate între:</w:t>
      </w:r>
    </w:p>
    <w:p w:rsidR="003F7AA1" w:rsidRPr="00E227F4" w:rsidRDefault="003F7AA1" w:rsidP="005128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operatori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autorităţile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administraţiei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 locale sau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asociaţiile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 dezvoltare </w:t>
      </w:r>
      <w:r w:rsidR="00512864" w:rsidRPr="00E227F4">
        <w:rPr>
          <w:rFonts w:ascii="Times New Roman" w:hAnsi="Times New Roman"/>
          <w:color w:val="000000"/>
          <w:sz w:val="24"/>
          <w:szCs w:val="24"/>
        </w:rPr>
        <w:t xml:space="preserve">comunitară, </w:t>
      </w:r>
      <w:r w:rsidRPr="00E227F4">
        <w:rPr>
          <w:rFonts w:ascii="Times New Roman" w:hAnsi="Times New Roman"/>
          <w:color w:val="000000"/>
          <w:sz w:val="24"/>
          <w:szCs w:val="24"/>
        </w:rPr>
        <w:t>după caz</w:t>
      </w:r>
      <w:r w:rsidR="00512864" w:rsidRPr="00E227F4">
        <w:rPr>
          <w:rFonts w:ascii="Times New Roman" w:hAnsi="Times New Roman"/>
          <w:color w:val="000000"/>
          <w:sz w:val="24"/>
          <w:szCs w:val="24"/>
        </w:rPr>
        <w:t>,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în calitatea acestora de utilizatori;</w:t>
      </w:r>
    </w:p>
    <w:p w:rsidR="00C36046" w:rsidRPr="00E227F4" w:rsidRDefault="003F7AA1" w:rsidP="005128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56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operatorii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utilizatorii individuali ai serviciului de salubrizare, generatori de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persoane fizice sau juridice;</w:t>
      </w:r>
    </w:p>
    <w:p w:rsidR="001368FC" w:rsidRPr="001368FC" w:rsidRDefault="00512864" w:rsidP="001368FC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8FC"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În funcție de modalitatea de plată stabilită </w:t>
      </w:r>
      <w:proofErr w:type="spellStart"/>
      <w:r w:rsidR="001368FC"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1368FC"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de natura activităților prestate, atât în cazul gestiunii directe, cât </w:t>
      </w:r>
      <w:proofErr w:type="spellStart"/>
      <w:r w:rsidR="001368FC"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1368FC"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în cazul gestiunii delegate, pentru asigurarea </w:t>
      </w:r>
      <w:r w:rsidR="003C7AFC" w:rsidRPr="001368FC">
        <w:rPr>
          <w:rFonts w:ascii="Times New Roman" w:hAnsi="Times New Roman" w:cs="Times New Roman"/>
          <w:color w:val="000000"/>
          <w:sz w:val="24"/>
          <w:szCs w:val="24"/>
        </w:rPr>
        <w:t>finanțării</w:t>
      </w:r>
      <w:r w:rsidR="001368FC"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serviciului de salubrizare, utilizatorii achită contravaloarea serviciului de salubrizare prin:</w:t>
      </w:r>
    </w:p>
    <w:p w:rsidR="001368FC" w:rsidRPr="001368FC" w:rsidRDefault="001368FC" w:rsidP="001368FC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8FC"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>tarife, în cazul prestațiilor de care beneficiază individual, pe bază de contract de prestare a serviciului de salubrizare;</w:t>
      </w:r>
    </w:p>
    <w:p w:rsidR="001368FC" w:rsidRPr="008557FA" w:rsidRDefault="001368FC" w:rsidP="001368FC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57FA">
        <w:rPr>
          <w:rFonts w:ascii="Times New Roman" w:hAnsi="Times New Roman" w:cs="Times New Roman"/>
          <w:b/>
          <w:color w:val="000000"/>
          <w:sz w:val="24"/>
          <w:szCs w:val="24"/>
        </w:rPr>
        <w:t>b) taxe de salubrizare, în cazul prestațiilor de care beneficiază individual fără contract;</w:t>
      </w:r>
    </w:p>
    <w:p w:rsidR="001368FC" w:rsidRDefault="001368FC" w:rsidP="001368FC">
      <w:pPr>
        <w:widowControl w:val="0"/>
        <w:autoSpaceDE w:val="0"/>
        <w:autoSpaceDN w:val="0"/>
        <w:adjustRightInd w:val="0"/>
        <w:snapToGri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8FC"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taxe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impozite locale, în cazul </w:t>
      </w:r>
      <w:r w:rsidR="008557FA" w:rsidRPr="001368FC">
        <w:rPr>
          <w:rFonts w:ascii="Times New Roman" w:hAnsi="Times New Roman" w:cs="Times New Roman"/>
          <w:color w:val="000000"/>
          <w:sz w:val="24"/>
          <w:szCs w:val="24"/>
        </w:rPr>
        <w:t>prestațiilor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efectuate în beneficiul întregii </w:t>
      </w:r>
      <w:r w:rsidR="008557FA" w:rsidRPr="001368FC">
        <w:rPr>
          <w:rFonts w:ascii="Times New Roman" w:hAnsi="Times New Roman" w:cs="Times New Roman"/>
          <w:color w:val="000000"/>
          <w:sz w:val="24"/>
          <w:szCs w:val="24"/>
        </w:rPr>
        <w:t>comunități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locale, pe căile publice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/sau pe </w:t>
      </w:r>
      <w:r w:rsidR="008557FA" w:rsidRPr="001368FC">
        <w:rPr>
          <w:rFonts w:ascii="Times New Roman" w:hAnsi="Times New Roman" w:cs="Times New Roman"/>
          <w:color w:val="000000"/>
          <w:sz w:val="24"/>
          <w:szCs w:val="24"/>
        </w:rPr>
        <w:t>spațiile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din domeniul public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privat al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/subdiviziunii administrativ-teritoriale. Plata contravalorii </w:t>
      </w:r>
      <w:r w:rsidR="008557FA" w:rsidRPr="001368FC">
        <w:rPr>
          <w:rFonts w:ascii="Times New Roman" w:hAnsi="Times New Roman" w:cs="Times New Roman"/>
          <w:color w:val="000000"/>
          <w:sz w:val="24"/>
          <w:szCs w:val="24"/>
        </w:rPr>
        <w:t>prestațiilor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se face pe baza facturilor emise de către operator, la tarifele aprobate de autoritatea deliberativă a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/subdiviziunii administrativ-teritoriale sau, după caz, de adunarea generală a </w:t>
      </w:r>
      <w:r w:rsidR="008557FA" w:rsidRPr="001368FC">
        <w:rPr>
          <w:rFonts w:ascii="Times New Roman" w:hAnsi="Times New Roman" w:cs="Times New Roman"/>
          <w:color w:val="000000"/>
          <w:sz w:val="24"/>
          <w:szCs w:val="24"/>
        </w:rPr>
        <w:t>asociației</w:t>
      </w:r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de dezvoltare intercomunitară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fundamentate de operator, în conformitate cu normele metodologice elaborate </w:t>
      </w:r>
      <w:proofErr w:type="spellStart"/>
      <w:r w:rsidRPr="001368F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368FC">
        <w:rPr>
          <w:rFonts w:ascii="Times New Roman" w:hAnsi="Times New Roman" w:cs="Times New Roman"/>
          <w:color w:val="000000"/>
          <w:sz w:val="24"/>
          <w:szCs w:val="24"/>
        </w:rPr>
        <w:t xml:space="preserve"> aprobate de A.N.R.S.C.</w:t>
      </w:r>
    </w:p>
    <w:p w:rsidR="003F7AA1" w:rsidRPr="00E227F4" w:rsidRDefault="00512864" w:rsidP="001368F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3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Clasificarea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activităţilor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funcţie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modul de contractare, facturare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plată a contravalorii serviciului de salubrizare prestat</w:t>
      </w:r>
      <w:r w:rsidR="008557FA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8557FA">
        <w:rPr>
          <w:rFonts w:ascii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="008557FA">
        <w:rPr>
          <w:rFonts w:ascii="Times New Roman" w:hAnsi="Times New Roman" w:cs="Times New Roman"/>
          <w:color w:val="000000"/>
          <w:sz w:val="24"/>
          <w:szCs w:val="24"/>
        </w:rPr>
        <w:t xml:space="preserve"> prin Regulamentul-C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adru a serviciului de salubrizare.</w:t>
      </w:r>
    </w:p>
    <w:p w:rsidR="003F7AA1" w:rsidRPr="00E227F4" w:rsidRDefault="00512864" w:rsidP="00C36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4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Cuantumul </w:t>
      </w:r>
      <w:proofErr w:type="spellStart"/>
      <w:r w:rsidR="00FC3F1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regimul tarifelor </w:t>
      </w:r>
      <w:proofErr w:type="spellStart"/>
      <w:r w:rsidR="00FC3F15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taxelor 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se stabilesc, se ajustează sau se modifică de către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autorităţile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publice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locale, potrivit prevederilor legal</w:t>
      </w:r>
      <w:r w:rsidR="008557FA">
        <w:rPr>
          <w:rFonts w:ascii="Times New Roman" w:hAnsi="Times New Roman" w:cs="Times New Roman"/>
          <w:color w:val="000000"/>
          <w:sz w:val="24"/>
          <w:szCs w:val="24"/>
        </w:rPr>
        <w:t>e în vigoare.</w:t>
      </w:r>
    </w:p>
    <w:p w:rsidR="003F7AA1" w:rsidRPr="00E227F4" w:rsidRDefault="00512864" w:rsidP="00C36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5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Structura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nivelul tarifelor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taxelor  vor fi stabilite astfel încât:</w:t>
      </w:r>
    </w:p>
    <w:p w:rsidR="00D51BFD" w:rsidRPr="00D51BFD" w:rsidRDefault="00D51BFD" w:rsidP="00D51BF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să acopere costul efectiv al prestării serviciului de salubrizare;</w:t>
      </w:r>
    </w:p>
    <w:p w:rsidR="00D51BFD" w:rsidRPr="00D51BFD" w:rsidRDefault="00D51BFD" w:rsidP="00D51BF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să acopere cel </w:t>
      </w:r>
      <w:r w:rsidR="008557FA"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puțin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sumele investite </w:t>
      </w:r>
      <w:proofErr w:type="spellStart"/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cheltuielile curente de </w:t>
      </w:r>
      <w:r w:rsidR="008557FA"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întreținere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exploatare a serviciului de salubrizare;</w:t>
      </w:r>
    </w:p>
    <w:p w:rsidR="00D51BFD" w:rsidRPr="00D51BFD" w:rsidRDefault="00D51BFD" w:rsidP="00D51BF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să încurajeze </w:t>
      </w:r>
      <w:r w:rsidR="008557FA"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investițiile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capital;</w:t>
      </w:r>
    </w:p>
    <w:p w:rsidR="00D51BFD" w:rsidRDefault="00D51BFD" w:rsidP="00D51BF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să respecte </w:t>
      </w:r>
      <w:proofErr w:type="spellStart"/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51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să asigure autonomia financiară a operatorului.</w:t>
      </w:r>
    </w:p>
    <w:p w:rsidR="003F7AA1" w:rsidRPr="00E227F4" w:rsidRDefault="00512864" w:rsidP="00D51BF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6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Pentru s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timularea colectării selective a</w:t>
      </w:r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deşeurilor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municipale,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autorităţile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administraţiei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publice locale au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a stabili taxe/tarife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diferenţiate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 tipuri de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deşeuri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pentru colectarea </w:t>
      </w:r>
      <w:proofErr w:type="spellStart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F7AA1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depozitarea acestora.</w:t>
      </w:r>
    </w:p>
    <w:p w:rsidR="00C36046" w:rsidRPr="00E227F4" w:rsidRDefault="00512864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7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C95"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Aplicarea de </w:t>
      </w:r>
      <w:proofErr w:type="spellStart"/>
      <w:r w:rsidR="00C90C95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ca</w:t>
      </w:r>
      <w:r w:rsidR="00C36046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tre</w:t>
      </w:r>
      <w:proofErr w:type="spellEnd"/>
      <w:r w:rsidR="00C36046"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operatori a unor tarife sau taxe mai mari decât cele stabilite </w:t>
      </w:r>
      <w:proofErr w:type="spellStart"/>
      <w:r w:rsidR="00C36046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="00C36046"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aprobate prin </w:t>
      </w:r>
      <w:proofErr w:type="spellStart"/>
      <w:r w:rsidR="00C36046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hotarare</w:t>
      </w:r>
      <w:proofErr w:type="spellEnd"/>
      <w:r w:rsidR="00C36046"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Consiliului Local este interzisă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046" w:rsidRPr="00E227F4" w:rsidRDefault="009E1C1B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8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Tarifele aprobate trebuie să conducă la atingerea următoarelor obiective:</w:t>
      </w:r>
    </w:p>
    <w:p w:rsidR="00C36046" w:rsidRPr="00E227F4" w:rsidRDefault="00C36046" w:rsidP="00C36046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a) asigurarea prestării serviciului de salubrizare la nivelurile de calitate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indicatorii de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performanţă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stabiliţi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 către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autorităţile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administraţiei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 locale sau, după caz, de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asociaţiile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 dezvoltare intercom</w:t>
      </w:r>
      <w:r w:rsidR="008557FA">
        <w:rPr>
          <w:rFonts w:ascii="Times New Roman" w:hAnsi="Times New Roman"/>
          <w:color w:val="000000"/>
          <w:sz w:val="24"/>
          <w:szCs w:val="24"/>
        </w:rPr>
        <w:t>unitară prin caietul de sarcini,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regulamentul serviciului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prin contractele de delegare a gestiunii;</w:t>
      </w:r>
    </w:p>
    <w:p w:rsidR="00C36046" w:rsidRPr="00E227F4" w:rsidRDefault="00C36046" w:rsidP="00C36046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b) realizarea unui raport calitate-cost cât mai bun pentru serviciul de salubrizare prestat pe perioada angajată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asigurarea unui echilibru între riscurile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beneficiile asumate de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părţile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contractante;</w:t>
      </w:r>
    </w:p>
    <w:p w:rsidR="00C36046" w:rsidRPr="00E227F4" w:rsidRDefault="00C36046" w:rsidP="00C36046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c) asigurarea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funcţionării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eficiente a serviciului de salubrizare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 exploatării bunurilor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aparţinând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domeniului public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privat al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unit</w:t>
      </w:r>
      <w:r w:rsidR="00C90C95" w:rsidRPr="00E227F4">
        <w:rPr>
          <w:rFonts w:ascii="Times New Roman" w:hAnsi="Times New Roman"/>
          <w:color w:val="000000"/>
          <w:sz w:val="24"/>
          <w:szCs w:val="24"/>
        </w:rPr>
        <w:t>ăţilor</w:t>
      </w:r>
      <w:proofErr w:type="spellEnd"/>
      <w:r w:rsidR="00C90C95" w:rsidRPr="00E227F4">
        <w:rPr>
          <w:rFonts w:ascii="Times New Roman" w:hAnsi="Times New Roman"/>
          <w:color w:val="000000"/>
          <w:sz w:val="24"/>
          <w:szCs w:val="24"/>
        </w:rPr>
        <w:t xml:space="preserve"> administra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tiv-teritoriale afectate  serviciului de salubrizare precum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asigurarea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protecţiei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mediului. </w:t>
      </w:r>
    </w:p>
    <w:p w:rsidR="00C36046" w:rsidRPr="00E227F4" w:rsidRDefault="00C36046" w:rsidP="00C36046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9E1C1B" w:rsidRPr="00E227F4" w:rsidRDefault="009E1C1B" w:rsidP="009E1C1B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 w:rsidRPr="00E227F4">
        <w:rPr>
          <w:rFonts w:ascii="Times New Roman" w:hAnsi="Times New Roman" w:cs="Times New Roman"/>
          <w:b/>
          <w:sz w:val="28"/>
          <w:szCs w:val="28"/>
        </w:rPr>
        <w:t xml:space="preserve">II. MODALITATI DE STABILIRE A TAXEI DE SALUBRIZARE </w:t>
      </w:r>
    </w:p>
    <w:p w:rsidR="009E1C1B" w:rsidRPr="00E227F4" w:rsidRDefault="009E1C1B" w:rsidP="00C360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CONDITII GENERALE: </w:t>
      </w:r>
    </w:p>
    <w:p w:rsidR="00C36046" w:rsidRPr="00E227F4" w:rsidRDefault="009E1C1B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9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Pe teritoriul administrativ al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Orasul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>ui</w:t>
      </w:r>
      <w:proofErr w:type="spellEnd"/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3F15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se instituie taxa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de salubrizare pentru:</w:t>
      </w:r>
    </w:p>
    <w:p w:rsidR="00C36046" w:rsidRPr="00E227F4" w:rsidRDefault="00C36046" w:rsidP="00C3604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Activitatea de colectare si transport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municipale, inclusiv 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toxice periculoase din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menajere, cu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exceptia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celor cu regim special;</w:t>
      </w:r>
    </w:p>
    <w:p w:rsidR="00862F6F" w:rsidRPr="00E227F4" w:rsidRDefault="00862F6F" w:rsidP="00862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lastRenderedPageBreak/>
        <w:t xml:space="preserve">Colectarea separată, transportul (inclusiv transferul)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menajere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asimilabile (inclusiv 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</w:t>
      </w:r>
      <w:r w:rsidR="00C90C95" w:rsidRPr="00E227F4">
        <w:rPr>
          <w:rFonts w:ascii="Times New Roman" w:hAnsi="Times New Roman"/>
          <w:color w:val="000000"/>
          <w:sz w:val="24"/>
          <w:szCs w:val="24"/>
        </w:rPr>
        <w:t>eşeurilor</w:t>
      </w:r>
      <w:proofErr w:type="spellEnd"/>
      <w:r w:rsidR="00C90C95" w:rsidRPr="00E227F4">
        <w:rPr>
          <w:rFonts w:ascii="Times New Roman" w:hAnsi="Times New Roman"/>
          <w:color w:val="000000"/>
          <w:sz w:val="24"/>
          <w:szCs w:val="24"/>
        </w:rPr>
        <w:t xml:space="preserve"> periculoase din </w:t>
      </w:r>
      <w:proofErr w:type="spellStart"/>
      <w:r w:rsidR="00C90C95" w:rsidRPr="00E227F4">
        <w:rPr>
          <w:rFonts w:ascii="Times New Roman" w:hAnsi="Times New Roman"/>
          <w:color w:val="000000"/>
          <w:sz w:val="24"/>
          <w:szCs w:val="24"/>
        </w:rPr>
        <w:t>deşe</w:t>
      </w:r>
      <w:r w:rsidRPr="00E227F4">
        <w:rPr>
          <w:rFonts w:ascii="Times New Roman" w:hAnsi="Times New Roman"/>
          <w:color w:val="000000"/>
          <w:sz w:val="24"/>
          <w:szCs w:val="24"/>
        </w:rPr>
        <w:t>urile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menajere, cu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exceptia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celor cu regim special);</w:t>
      </w:r>
    </w:p>
    <w:p w:rsidR="00862F6F" w:rsidRPr="00E227F4" w:rsidRDefault="00862F6F" w:rsidP="00862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Sortarea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menajere si asimilabile colectate separat;</w:t>
      </w:r>
    </w:p>
    <w:p w:rsidR="00862F6F" w:rsidRPr="00E227F4" w:rsidRDefault="00862F6F" w:rsidP="00862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Transportul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la Depozitul conform;</w:t>
      </w:r>
    </w:p>
    <w:p w:rsidR="00862F6F" w:rsidRPr="00E227F4" w:rsidRDefault="00862F6F" w:rsidP="00862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Depozitarea controlată 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municipale;</w:t>
      </w:r>
    </w:p>
    <w:p w:rsidR="00862F6F" w:rsidRPr="00E227F4" w:rsidRDefault="00862F6F" w:rsidP="00862F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Colectarea, transportul, valorificarea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eliminarea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voluminoase provenite de la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institutii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operatori economici, neasimilabile celor  menajere.</w:t>
      </w:r>
    </w:p>
    <w:p w:rsidR="00265B62" w:rsidRPr="00E227F4" w:rsidRDefault="00265B62" w:rsidP="00265B6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C36046" w:rsidRPr="004A2AA2" w:rsidRDefault="009E1C1B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10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Taxa 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salubrizare se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plateste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persoane</w:t>
      </w:r>
      <w:r w:rsidR="004A2AA2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juridice (operatori economici,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instituţi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publice,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asociaţii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non-</w:t>
      </w:r>
      <w:r w:rsidR="00C90C95" w:rsidRPr="00E227F4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fit altele decât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asociaţiile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proprietar/locatari, etc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175">
        <w:rPr>
          <w:rFonts w:ascii="Times New Roman" w:hAnsi="Times New Roman" w:cs="Times New Roman"/>
          <w:color w:val="000000"/>
          <w:sz w:val="24"/>
          <w:szCs w:val="24"/>
        </w:rPr>
        <w:t>) care au sediul/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punctul de lucru sau care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desfăşoară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orasul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5B62" w:rsidRPr="00E227F4" w:rsidRDefault="00265B62" w:rsidP="00C3604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color w:val="000000"/>
          <w:sz w:val="10"/>
          <w:szCs w:val="10"/>
        </w:rPr>
      </w:pPr>
    </w:p>
    <w:p w:rsidR="00C36046" w:rsidRPr="00E227F4" w:rsidRDefault="009E1C1B" w:rsidP="009E1C1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>DECLARATIA DE IMPUNERE</w:t>
      </w:r>
      <w:r w:rsidR="00862F6F"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pentru persoanele non-casnice</w:t>
      </w: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C36046" w:rsidRPr="00E227F4" w:rsidRDefault="009E1C1B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11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În vederea calculării taxei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de salubrizare, persoanele juridice au </w:t>
      </w:r>
      <w:proofErr w:type="spellStart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depunerii, 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046" w:rsidRPr="00E227F4">
        <w:rPr>
          <w:rFonts w:ascii="Times New Roman" w:hAnsi="Times New Roman" w:cs="Times New Roman"/>
          <w:color w:val="000000"/>
          <w:sz w:val="24"/>
          <w:szCs w:val="24"/>
        </w:rPr>
        <w:t>până la data de 31 ianuarie a fiecărui an</w:t>
      </w:r>
      <w:r w:rsidR="00C90C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calendaristic,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BA7" w:rsidRPr="00A03175">
        <w:rPr>
          <w:rFonts w:ascii="Times New Roman" w:hAnsi="Times New Roman" w:cs="Times New Roman"/>
          <w:b/>
          <w:color w:val="000000"/>
          <w:sz w:val="24"/>
          <w:szCs w:val="24"/>
        </w:rPr>
        <w:t>Declaraţiei</w:t>
      </w:r>
      <w:proofErr w:type="spellEnd"/>
      <w:r w:rsidR="00C36046" w:rsidRPr="00A031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impun</w:t>
      </w:r>
      <w:r w:rsidR="00862F6F" w:rsidRPr="00A03175">
        <w:rPr>
          <w:rFonts w:ascii="Times New Roman" w:hAnsi="Times New Roman" w:cs="Times New Roman"/>
          <w:b/>
          <w:color w:val="000000"/>
          <w:sz w:val="24"/>
          <w:szCs w:val="24"/>
        </w:rPr>
        <w:t>ere, dată pe proprie răspundere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5B62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12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În această categorie se includ operatorii economici</w:t>
      </w:r>
      <w:r w:rsidR="009E1C1B" w:rsidRPr="00E227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instituţiile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publice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asociaţiile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non-profit altele decât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A03175">
        <w:rPr>
          <w:rFonts w:ascii="Times New Roman" w:hAnsi="Times New Roman" w:cs="Times New Roman"/>
          <w:color w:val="000000"/>
          <w:sz w:val="24"/>
          <w:szCs w:val="24"/>
        </w:rPr>
        <w:t>ciaţiile</w:t>
      </w:r>
      <w:proofErr w:type="spellEnd"/>
      <w:r w:rsidR="00A03175">
        <w:rPr>
          <w:rFonts w:ascii="Times New Roman" w:hAnsi="Times New Roman" w:cs="Times New Roman"/>
          <w:color w:val="000000"/>
          <w:sz w:val="24"/>
          <w:szCs w:val="24"/>
        </w:rPr>
        <w:t xml:space="preserve"> de proprietar/locatari care au sediul/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punctul de lucru sau care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desfăşoară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(economice sau de altă natură) pe teritoriul administrativ al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orasului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5B62" w:rsidRPr="00E22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265B62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13 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Ca urmare a depunerii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declaraţi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, utilizatorii 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casnici vor primi, până la data de 31 martie a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fiecarui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an, o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instiintare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plata in care se va specifica valoarea taxei de salubrizare datorata pentru anul in curs. În cazul neprimirii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înştiinţării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până la finele primului trimestru,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plată subzistă,  utilizatorii non-casnici având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a consulta site-ul/avizieru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primăriei pe raza căruia au sediul sau punctul de lucru.</w:t>
      </w:r>
    </w:p>
    <w:p w:rsidR="00265B62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14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Declaraţiile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rectificative se depun în termen de 30 de zile de la data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apariţie</w:t>
      </w:r>
      <w:r w:rsidR="00A0317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oricărei modificări a datelor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declaratiei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initiale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urmând ca modificarea taxei de salubrizare să se efectueze in maxim 30 zile calendaristice de la data depunerii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declaratiei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rectificative. </w:t>
      </w:r>
    </w:p>
    <w:p w:rsidR="005B4346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15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În cazul nedepune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rii </w:t>
      </w:r>
      <w:proofErr w:type="spellStart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declaraţiei</w:t>
      </w:r>
      <w:proofErr w:type="spellEnd"/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pent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ru stabilirea cuantumului taxei </w:t>
      </w:r>
      <w:r w:rsidR="00265B62" w:rsidRPr="00E227F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salubrizare până la data de 31 martie, </w:t>
      </w:r>
      <w:proofErr w:type="spellStart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193E27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plată se va stabili din oficiu,</w:t>
      </w:r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 baza </w:t>
      </w:r>
      <w:proofErr w:type="spellStart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existente in dosarul fiscal, registrul agricol, Registrul </w:t>
      </w:r>
      <w:proofErr w:type="spellStart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Comerţului</w:t>
      </w:r>
      <w:proofErr w:type="spellEnd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etc.</w:t>
      </w:r>
    </w:p>
    <w:p w:rsidR="00E03809" w:rsidRPr="00E227F4" w:rsidRDefault="00E03809" w:rsidP="005B43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3809" w:rsidRPr="00E227F4" w:rsidRDefault="00FC3F15" w:rsidP="005B43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MODALITATEA DE CALCUL A TAXEI</w:t>
      </w:r>
      <w:r w:rsidR="00E03809"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SALUBRIZARE </w:t>
      </w:r>
    </w:p>
    <w:p w:rsidR="00E03809" w:rsidRPr="00E227F4" w:rsidRDefault="00E03809" w:rsidP="005B43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10"/>
          <w:szCs w:val="10"/>
        </w:rPr>
      </w:pPr>
    </w:p>
    <w:p w:rsidR="005B4346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16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>Din taxa</w:t>
      </w:r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salubrizare se asigură </w:t>
      </w:r>
      <w:proofErr w:type="spellStart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finanţarea</w:t>
      </w:r>
      <w:proofErr w:type="spellEnd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următoarelor </w:t>
      </w:r>
      <w:proofErr w:type="spellStart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="005B4346" w:rsidRPr="00E227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B4346" w:rsidRPr="00A03175" w:rsidRDefault="005B4346" w:rsidP="00A0317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1031" w:hanging="322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>Colectarea separată</w:t>
      </w:r>
      <w:r w:rsidR="00E03809" w:rsidRPr="00E227F4">
        <w:rPr>
          <w:rFonts w:ascii="Times New Roman" w:hAnsi="Times New Roman"/>
          <w:color w:val="000000"/>
          <w:sz w:val="24"/>
          <w:szCs w:val="24"/>
        </w:rPr>
        <w:t>,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transportul (inclusiv transferul)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menajere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asimilabile (inclusiv a </w:t>
      </w:r>
      <w:r w:rsidR="00A03175" w:rsidRPr="00E227F4">
        <w:rPr>
          <w:rFonts w:ascii="Times New Roman" w:hAnsi="Times New Roman"/>
          <w:color w:val="000000"/>
          <w:sz w:val="24"/>
          <w:szCs w:val="24"/>
        </w:rPr>
        <w:t>d</w:t>
      </w:r>
      <w:r w:rsidR="00A03175">
        <w:rPr>
          <w:rFonts w:ascii="Times New Roman" w:hAnsi="Times New Roman"/>
          <w:color w:val="000000"/>
          <w:sz w:val="24"/>
          <w:szCs w:val="24"/>
        </w:rPr>
        <w:t>eșeurilor periculoase din deșe</w:t>
      </w:r>
      <w:r w:rsidR="00A03175" w:rsidRPr="00A03175">
        <w:rPr>
          <w:rFonts w:ascii="Times New Roman" w:hAnsi="Times New Roman"/>
          <w:color w:val="000000"/>
          <w:sz w:val="24"/>
          <w:szCs w:val="24"/>
        </w:rPr>
        <w:t>urile</w:t>
      </w:r>
      <w:r w:rsidRPr="00A03175">
        <w:rPr>
          <w:rFonts w:ascii="Times New Roman" w:hAnsi="Times New Roman"/>
          <w:color w:val="000000"/>
          <w:sz w:val="24"/>
          <w:szCs w:val="24"/>
        </w:rPr>
        <w:t xml:space="preserve"> menajere, cu </w:t>
      </w:r>
      <w:r w:rsidR="00A03175" w:rsidRPr="00A03175">
        <w:rPr>
          <w:rFonts w:ascii="Times New Roman" w:hAnsi="Times New Roman"/>
          <w:color w:val="000000"/>
          <w:sz w:val="24"/>
          <w:szCs w:val="24"/>
        </w:rPr>
        <w:t>excepția</w:t>
      </w:r>
      <w:r w:rsidRPr="00A03175">
        <w:rPr>
          <w:rFonts w:ascii="Times New Roman" w:hAnsi="Times New Roman"/>
          <w:color w:val="000000"/>
          <w:sz w:val="24"/>
          <w:szCs w:val="24"/>
        </w:rPr>
        <w:t xml:space="preserve"> celor cu regim special;</w:t>
      </w:r>
    </w:p>
    <w:p w:rsidR="005B4346" w:rsidRPr="00E227F4" w:rsidRDefault="005B4346" w:rsidP="005B434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1031" w:hanging="322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Sortarea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menajere si asimilabile colectate separat;</w:t>
      </w:r>
    </w:p>
    <w:p w:rsidR="005B4346" w:rsidRPr="00E227F4" w:rsidRDefault="005B4346" w:rsidP="005B434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1031" w:hanging="322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Transportul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deseurilor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la Depozitul conform;</w:t>
      </w:r>
    </w:p>
    <w:p w:rsidR="005B4346" w:rsidRPr="00E227F4" w:rsidRDefault="005B4346" w:rsidP="005B434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1031" w:hanging="322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Depozitarea controlată 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municipale;</w:t>
      </w:r>
    </w:p>
    <w:p w:rsidR="005B4346" w:rsidRPr="00E227F4" w:rsidRDefault="005B4346" w:rsidP="005B434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ind w:left="1031" w:hanging="322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>Colectarea</w:t>
      </w:r>
      <w:r w:rsidR="00E03809" w:rsidRPr="00E227F4">
        <w:rPr>
          <w:rFonts w:ascii="Times New Roman" w:hAnsi="Times New Roman"/>
          <w:color w:val="000000"/>
          <w:sz w:val="24"/>
          <w:szCs w:val="24"/>
        </w:rPr>
        <w:t>,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transportul</w:t>
      </w:r>
      <w:r w:rsidR="00E03809" w:rsidRPr="00E227F4">
        <w:rPr>
          <w:rFonts w:ascii="Times New Roman" w:hAnsi="Times New Roman"/>
          <w:color w:val="000000"/>
          <w:sz w:val="24"/>
          <w:szCs w:val="24"/>
        </w:rPr>
        <w:t>,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valorilicarea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eliminarea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deşeurilor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voluminoase provenite de la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institutii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publice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operatori economici</w:t>
      </w:r>
      <w:r w:rsidR="00E03809" w:rsidRPr="00E227F4">
        <w:rPr>
          <w:rFonts w:ascii="Times New Roman" w:hAnsi="Times New Roman"/>
          <w:color w:val="000000"/>
          <w:sz w:val="24"/>
          <w:szCs w:val="24"/>
        </w:rPr>
        <w:t>,</w:t>
      </w:r>
      <w:r w:rsidRPr="00E227F4">
        <w:rPr>
          <w:rFonts w:ascii="Times New Roman" w:hAnsi="Times New Roman"/>
          <w:color w:val="000000"/>
          <w:sz w:val="24"/>
          <w:szCs w:val="24"/>
        </w:rPr>
        <w:t xml:space="preserve"> neasimilabile celor  menajere.</w:t>
      </w:r>
    </w:p>
    <w:p w:rsidR="005B4346" w:rsidRPr="00E227F4" w:rsidRDefault="005B4346" w:rsidP="005B434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A03175" w:rsidRDefault="00E03809" w:rsidP="00246642">
      <w:pPr>
        <w:spacing w:after="0"/>
        <w:ind w:left="369"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17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175" w:rsidRPr="00246642">
        <w:rPr>
          <w:rFonts w:ascii="Times New Roman" w:hAnsi="Times New Roman" w:cs="Times New Roman"/>
          <w:b/>
          <w:color w:val="000000"/>
          <w:sz w:val="24"/>
          <w:szCs w:val="24"/>
        </w:rPr>
        <w:t>(1)</w:t>
      </w:r>
      <w:r w:rsidR="00246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Taxa de salubrizare se </w:t>
      </w:r>
      <w:r w:rsidR="00A03175">
        <w:rPr>
          <w:rFonts w:ascii="Times New Roman" w:hAnsi="Times New Roman" w:cs="Times New Roman"/>
          <w:color w:val="FF0000"/>
          <w:sz w:val="24"/>
          <w:szCs w:val="24"/>
        </w:rPr>
        <w:t>stabilește</w:t>
      </w:r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 anual</w:t>
      </w:r>
      <w:r w:rsidR="00A03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în conformitate cu tarifele </w:t>
      </w:r>
      <w:r w:rsidR="00FF3926" w:rsidRPr="004A2AA2">
        <w:rPr>
          <w:rFonts w:ascii="Times New Roman" w:hAnsi="Times New Roman" w:cs="Times New Roman"/>
          <w:color w:val="FF0000"/>
          <w:sz w:val="24"/>
          <w:szCs w:val="24"/>
        </w:rPr>
        <w:t>ADIS</w:t>
      </w:r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, pentru persoane </w:t>
      </w:r>
      <w:r w:rsidR="00246642">
        <w:rPr>
          <w:rFonts w:ascii="Times New Roman" w:hAnsi="Times New Roman" w:cs="Times New Roman"/>
          <w:color w:val="FF0000"/>
          <w:sz w:val="24"/>
          <w:szCs w:val="24"/>
        </w:rPr>
        <w:t>non-casnice</w:t>
      </w:r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, în </w:t>
      </w:r>
      <w:proofErr w:type="spellStart"/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>func</w:t>
      </w:r>
      <w:r w:rsidRPr="004A2AA2">
        <w:rPr>
          <w:rFonts w:ascii="Times New Roman" w:hAnsi="Times New Roman" w:cs="Times New Roman"/>
          <w:color w:val="FF0000"/>
          <w:sz w:val="24"/>
          <w:szCs w:val="24"/>
        </w:rPr>
        <w:t>tie</w:t>
      </w:r>
      <w:proofErr w:type="spellEnd"/>
      <w:r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 de tipul agentului economic si in </w:t>
      </w:r>
      <w:r w:rsidR="005B4346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baza </w:t>
      </w:r>
      <w:r w:rsidR="003C7AFC">
        <w:rPr>
          <w:rFonts w:ascii="Times New Roman" w:hAnsi="Times New Roman" w:cs="Times New Roman"/>
          <w:color w:val="FF0000"/>
          <w:sz w:val="24"/>
          <w:szCs w:val="24"/>
        </w:rPr>
        <w:t xml:space="preserve">indicilor statistici </w:t>
      </w:r>
      <w:r w:rsidR="005B6541" w:rsidRPr="004A2AA2">
        <w:rPr>
          <w:rFonts w:ascii="Times New Roman" w:hAnsi="Times New Roman" w:cs="Times New Roman"/>
          <w:color w:val="FF0000"/>
          <w:sz w:val="24"/>
          <w:szCs w:val="24"/>
        </w:rPr>
        <w:t>de generare</w:t>
      </w:r>
      <w:r w:rsidR="005B65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C7AFC">
        <w:rPr>
          <w:rFonts w:ascii="Times New Roman" w:hAnsi="Times New Roman" w:cs="Times New Roman"/>
          <w:color w:val="FF0000"/>
          <w:sz w:val="24"/>
          <w:szCs w:val="24"/>
        </w:rPr>
        <w:t xml:space="preserve">pe anii </w:t>
      </w:r>
      <w:r w:rsidR="00246642">
        <w:rPr>
          <w:rFonts w:ascii="Times New Roman" w:hAnsi="Times New Roman" w:cs="Times New Roman"/>
          <w:color w:val="FF0000"/>
          <w:sz w:val="24"/>
          <w:szCs w:val="24"/>
        </w:rPr>
        <w:t>precedenți</w:t>
      </w:r>
      <w:r w:rsidR="00A0317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03175" w:rsidRDefault="00A03175" w:rsidP="00246642">
      <w:pPr>
        <w:spacing w:after="0"/>
        <w:ind w:left="369" w:right="142" w:firstLine="765"/>
        <w:jc w:val="both"/>
        <w:rPr>
          <w:rFonts w:ascii="Verdana" w:eastAsia="Times New Roman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(2) </w:t>
      </w:r>
      <w:r w:rsidRPr="0024664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246642" w:rsidRPr="00246642">
        <w:rPr>
          <w:rFonts w:ascii="Times New Roman" w:hAnsi="Times New Roman" w:cs="Times New Roman"/>
          <w:color w:val="000000"/>
          <w:sz w:val="24"/>
          <w:szCs w:val="24"/>
        </w:rPr>
        <w:t>asemenea</w:t>
      </w:r>
      <w:r w:rsidRPr="00246642">
        <w:rPr>
          <w:rFonts w:ascii="Times New Roman" w:hAnsi="Times New Roman" w:cs="Times New Roman"/>
          <w:color w:val="000000"/>
          <w:sz w:val="24"/>
          <w:szCs w:val="24"/>
        </w:rPr>
        <w:t>, in con</w:t>
      </w:r>
      <w:r w:rsidR="00246642">
        <w:rPr>
          <w:rFonts w:ascii="Times New Roman" w:hAnsi="Times New Roman" w:cs="Times New Roman"/>
          <w:color w:val="000000"/>
          <w:sz w:val="24"/>
          <w:szCs w:val="24"/>
        </w:rPr>
        <w:t>formitate cu art. 6 alin.1 lit. k</w:t>
      </w:r>
      <w:r w:rsidRPr="00246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6642">
        <w:rPr>
          <w:rFonts w:ascii="Times New Roman" w:hAnsi="Times New Roman" w:cs="Times New Roman"/>
          <w:color w:val="000000"/>
          <w:sz w:val="24"/>
          <w:szCs w:val="24"/>
        </w:rPr>
        <w:t xml:space="preserve">din OUG 133/ 29.09.2022, </w:t>
      </w:r>
      <w:r w:rsidR="00246642" w:rsidRPr="00246642">
        <w:rPr>
          <w:rFonts w:ascii="Times New Roman" w:hAnsi="Times New Roman" w:cs="Times New Roman"/>
          <w:color w:val="000000"/>
          <w:sz w:val="24"/>
          <w:szCs w:val="24"/>
        </w:rPr>
        <w:t>autoritățile</w:t>
      </w:r>
      <w:r w:rsidRPr="00246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6642" w:rsidRPr="00246642">
        <w:rPr>
          <w:rFonts w:ascii="Times New Roman" w:hAnsi="Times New Roman" w:cs="Times New Roman"/>
          <w:color w:val="000000"/>
          <w:sz w:val="24"/>
          <w:szCs w:val="24"/>
        </w:rPr>
        <w:t>administrației</w:t>
      </w:r>
      <w:r w:rsidRPr="00246642">
        <w:rPr>
          <w:rFonts w:ascii="Times New Roman" w:hAnsi="Times New Roman" w:cs="Times New Roman"/>
          <w:color w:val="000000"/>
          <w:sz w:val="24"/>
          <w:szCs w:val="24"/>
        </w:rPr>
        <w:t xml:space="preserve"> publice locale ale UAT </w:t>
      </w:r>
      <w:r w:rsidR="00246642" w:rsidRPr="00246642">
        <w:rPr>
          <w:rFonts w:ascii="Times New Roman" w:hAnsi="Times New Roman" w:cs="Times New Roman"/>
          <w:color w:val="000000"/>
          <w:sz w:val="24"/>
          <w:szCs w:val="24"/>
        </w:rPr>
        <w:t xml:space="preserve">au atribuția </w:t>
      </w:r>
      <w:r w:rsidR="00246642">
        <w:rPr>
          <w:rFonts w:ascii="Times New Roman" w:hAnsi="Times New Roman" w:cs="Times New Roman"/>
          <w:color w:val="000000"/>
          <w:sz w:val="24"/>
          <w:szCs w:val="24"/>
        </w:rPr>
        <w:t xml:space="preserve">in ceea ce privește </w:t>
      </w:r>
      <w:r w:rsidR="00246642">
        <w:rPr>
          <w:rFonts w:ascii="Times New Roman" w:hAnsi="Times New Roman" w:cs="Times New Roman"/>
          <w:b/>
          <w:color w:val="000000"/>
          <w:sz w:val="24"/>
          <w:szCs w:val="24"/>
        </w:rPr>
        <w:t>,,</w:t>
      </w:r>
      <w:r>
        <w:rPr>
          <w:rStyle w:val="slitbdy"/>
          <w:rFonts w:eastAsia="Times New Roman"/>
          <w:i/>
          <w:iCs/>
        </w:rPr>
        <w:t xml:space="preserve">aprobarea stabilirii, ajustării sau modificării taxei de salubrizare, inclusiv aprobarea, prin </w:t>
      </w:r>
      <w:proofErr w:type="spellStart"/>
      <w:r>
        <w:rPr>
          <w:rStyle w:val="slitbdy"/>
          <w:rFonts w:eastAsia="Times New Roman"/>
          <w:i/>
          <w:iCs/>
        </w:rPr>
        <w:t>aceeaşi</w:t>
      </w:r>
      <w:proofErr w:type="spellEnd"/>
      <w:r>
        <w:rPr>
          <w:rStyle w:val="slitbdy"/>
          <w:rFonts w:eastAsia="Times New Roman"/>
          <w:i/>
          <w:iCs/>
        </w:rPr>
        <w:t xml:space="preserve"> hotărâre, a ajustării sau modificării taxei de salubrizare ori de câte ori aprobă ajustarea sau modificarea vreunui tarif component al </w:t>
      </w:r>
      <w:proofErr w:type="spellStart"/>
      <w:r>
        <w:rPr>
          <w:rStyle w:val="slitbdy"/>
          <w:rFonts w:eastAsia="Times New Roman"/>
          <w:i/>
          <w:iCs/>
        </w:rPr>
        <w:t>activităţilor</w:t>
      </w:r>
      <w:proofErr w:type="spellEnd"/>
      <w:r>
        <w:rPr>
          <w:rStyle w:val="slitbdy"/>
          <w:rFonts w:eastAsia="Times New Roman"/>
          <w:i/>
          <w:iCs/>
        </w:rPr>
        <w:t xml:space="preserve"> </w:t>
      </w:r>
      <w:proofErr w:type="spellStart"/>
      <w:r>
        <w:rPr>
          <w:rStyle w:val="slitbdy"/>
          <w:rFonts w:eastAsia="Times New Roman"/>
          <w:i/>
          <w:iCs/>
        </w:rPr>
        <w:t>desfăşurate</w:t>
      </w:r>
      <w:proofErr w:type="spellEnd"/>
      <w:r>
        <w:rPr>
          <w:rStyle w:val="slitbdy"/>
          <w:rFonts w:eastAsia="Times New Roman"/>
          <w:i/>
          <w:iCs/>
        </w:rPr>
        <w:t xml:space="preserve"> de operatori pe fluxul </w:t>
      </w:r>
      <w:proofErr w:type="spellStart"/>
      <w:r>
        <w:rPr>
          <w:rStyle w:val="slitbdy"/>
          <w:rFonts w:eastAsia="Times New Roman"/>
          <w:i/>
          <w:iCs/>
        </w:rPr>
        <w:t>deşeurilor</w:t>
      </w:r>
      <w:proofErr w:type="spellEnd"/>
      <w:r>
        <w:rPr>
          <w:rStyle w:val="slitbdy"/>
          <w:rFonts w:eastAsia="Times New Roman"/>
          <w:i/>
          <w:iCs/>
        </w:rPr>
        <w:t xml:space="preserve"> municipale, în conformitate cu normele metodologice elaborate </w:t>
      </w:r>
      <w:proofErr w:type="spellStart"/>
      <w:r>
        <w:rPr>
          <w:rStyle w:val="slitbdy"/>
          <w:rFonts w:eastAsia="Times New Roman"/>
          <w:i/>
          <w:iCs/>
        </w:rPr>
        <w:t>şi</w:t>
      </w:r>
      <w:proofErr w:type="spellEnd"/>
      <w:r>
        <w:rPr>
          <w:rStyle w:val="slitbdy"/>
          <w:rFonts w:eastAsia="Times New Roman"/>
          <w:i/>
          <w:iCs/>
        </w:rPr>
        <w:t xml:space="preserve"> aprobate de A.N.R.S.C.</w:t>
      </w:r>
      <w:r w:rsidR="00246642">
        <w:rPr>
          <w:rStyle w:val="slitbdy"/>
          <w:rFonts w:eastAsia="Times New Roman"/>
          <w:i/>
          <w:iCs/>
        </w:rPr>
        <w:t>”</w:t>
      </w:r>
      <w:r>
        <w:rPr>
          <w:rStyle w:val="slitbdy"/>
          <w:rFonts w:eastAsia="Times New Roman"/>
          <w:i/>
          <w:iCs/>
        </w:rPr>
        <w:t>;</w:t>
      </w:r>
    </w:p>
    <w:p w:rsidR="006076B8" w:rsidRPr="00E227F4" w:rsidRDefault="00E03809" w:rsidP="0024664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18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Colectarea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gestionarea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deşeurilor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abandonate pe domeniul public sau privat al UAT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Orasul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, va fi suportată din bugetul local. </w:t>
      </w:r>
    </w:p>
    <w:p w:rsidR="005B4346" w:rsidRPr="00E227F4" w:rsidRDefault="00E03809" w:rsidP="0024664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19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>Utilizatorii non-casni</w:t>
      </w:r>
      <w:r w:rsidR="00FC3F15">
        <w:rPr>
          <w:rFonts w:ascii="Times New Roman" w:hAnsi="Times New Roman" w:cs="Times New Roman"/>
          <w:color w:val="FF0000"/>
          <w:sz w:val="24"/>
          <w:szCs w:val="24"/>
        </w:rPr>
        <w:t xml:space="preserve">ci sunt </w:t>
      </w:r>
      <w:proofErr w:type="spellStart"/>
      <w:r w:rsidR="00FC3F15">
        <w:rPr>
          <w:rFonts w:ascii="Times New Roman" w:hAnsi="Times New Roman" w:cs="Times New Roman"/>
          <w:color w:val="FF0000"/>
          <w:sz w:val="24"/>
          <w:szCs w:val="24"/>
        </w:rPr>
        <w:t>obligaţi</w:t>
      </w:r>
      <w:proofErr w:type="spellEnd"/>
      <w:r w:rsidR="00FC3F15">
        <w:rPr>
          <w:rFonts w:ascii="Times New Roman" w:hAnsi="Times New Roman" w:cs="Times New Roman"/>
          <w:color w:val="FF0000"/>
          <w:sz w:val="24"/>
          <w:szCs w:val="24"/>
        </w:rPr>
        <w:t xml:space="preserve"> la plata taxei</w:t>
      </w:r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 de salubrizare în mod </w:t>
      </w:r>
      <w:proofErr w:type="spellStart"/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>diferentiat</w:t>
      </w:r>
      <w:proofErr w:type="spellEnd"/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, în </w:t>
      </w:r>
      <w:proofErr w:type="spellStart"/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>fu</w:t>
      </w:r>
      <w:r w:rsidR="005B6541">
        <w:rPr>
          <w:rFonts w:ascii="Times New Roman" w:hAnsi="Times New Roman" w:cs="Times New Roman"/>
          <w:color w:val="FF0000"/>
          <w:sz w:val="24"/>
          <w:szCs w:val="24"/>
        </w:rPr>
        <w:t>nctie</w:t>
      </w:r>
      <w:proofErr w:type="spellEnd"/>
      <w:r w:rsidR="005B6541">
        <w:rPr>
          <w:rFonts w:ascii="Times New Roman" w:hAnsi="Times New Roman" w:cs="Times New Roman"/>
          <w:color w:val="FF0000"/>
          <w:sz w:val="24"/>
          <w:szCs w:val="24"/>
        </w:rPr>
        <w:t xml:space="preserve"> de specificul </w:t>
      </w:r>
      <w:proofErr w:type="spellStart"/>
      <w:r w:rsidR="005B6541">
        <w:rPr>
          <w:rFonts w:ascii="Times New Roman" w:hAnsi="Times New Roman" w:cs="Times New Roman"/>
          <w:color w:val="FF0000"/>
          <w:sz w:val="24"/>
          <w:szCs w:val="24"/>
        </w:rPr>
        <w:t>activităţii</w:t>
      </w:r>
      <w:proofErr w:type="spellEnd"/>
      <w:r w:rsidR="005B6541">
        <w:rPr>
          <w:rFonts w:ascii="Times New Roman" w:hAnsi="Times New Roman" w:cs="Times New Roman"/>
          <w:color w:val="FF0000"/>
          <w:sz w:val="24"/>
          <w:szCs w:val="24"/>
        </w:rPr>
        <w:t xml:space="preserve">, principiul ,, plătește pentru cat arunci”, si respectiv pe baza indicilor </w:t>
      </w:r>
      <w:proofErr w:type="spellStart"/>
      <w:r w:rsidR="005B6541">
        <w:rPr>
          <w:rFonts w:ascii="Times New Roman" w:hAnsi="Times New Roman" w:cs="Times New Roman"/>
          <w:color w:val="FF0000"/>
          <w:sz w:val="24"/>
          <w:szCs w:val="24"/>
        </w:rPr>
        <w:t>statistitici</w:t>
      </w:r>
      <w:proofErr w:type="spellEnd"/>
      <w:r w:rsidR="004755F0">
        <w:rPr>
          <w:rFonts w:ascii="Times New Roman" w:hAnsi="Times New Roman" w:cs="Times New Roman"/>
          <w:color w:val="FF0000"/>
          <w:sz w:val="24"/>
          <w:szCs w:val="24"/>
        </w:rPr>
        <w:t xml:space="preserve"> de generare</w:t>
      </w:r>
      <w:r w:rsidR="0058543B">
        <w:rPr>
          <w:rFonts w:ascii="Times New Roman" w:hAnsi="Times New Roman" w:cs="Times New Roman"/>
          <w:color w:val="FF0000"/>
          <w:sz w:val="24"/>
          <w:szCs w:val="24"/>
        </w:rPr>
        <w:t xml:space="preserve"> a deșeurilor din anilor precedenți </w:t>
      </w:r>
    </w:p>
    <w:p w:rsidR="006076B8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20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Obligatia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depunerii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Declaratiei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impunere pentru stabilirea cuantumului taxei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achitării acesteia revine reprezentantului legal al persoanei juridice.</w:t>
      </w:r>
    </w:p>
    <w:p w:rsidR="00FF3926" w:rsidRPr="004A2AA2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D48D8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(1)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In cazul persoanelor juridice, taxa de salubrizare se calculează în </w:t>
      </w:r>
      <w:r w:rsidR="0058543B" w:rsidRPr="004A2AA2">
        <w:rPr>
          <w:rFonts w:ascii="Times New Roman" w:hAnsi="Times New Roman" w:cs="Times New Roman"/>
          <w:color w:val="FF0000"/>
          <w:sz w:val="24"/>
          <w:szCs w:val="24"/>
        </w:rPr>
        <w:t>funcție</w:t>
      </w:r>
      <w:r w:rsidR="006076B8" w:rsidRPr="004A2AA2">
        <w:rPr>
          <w:rFonts w:ascii="Times New Roman" w:hAnsi="Times New Roman" w:cs="Times New Roman"/>
          <w:color w:val="FF0000"/>
          <w:sz w:val="24"/>
          <w:szCs w:val="24"/>
        </w:rPr>
        <w:t xml:space="preserve"> de numărul </w:t>
      </w:r>
      <w:r w:rsidR="005B6541">
        <w:rPr>
          <w:rFonts w:ascii="Times New Roman" w:hAnsi="Times New Roman" w:cs="Times New Roman"/>
          <w:color w:val="FF0000"/>
          <w:sz w:val="24"/>
          <w:szCs w:val="24"/>
        </w:rPr>
        <w:t>de recipiente generate într-o luna</w:t>
      </w:r>
      <w:r w:rsidR="00FF3926" w:rsidRPr="004A2AA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541">
        <w:rPr>
          <w:rFonts w:ascii="Times New Roman" w:hAnsi="Times New Roman" w:cs="Times New Roman"/>
          <w:color w:val="FF0000"/>
          <w:sz w:val="24"/>
          <w:szCs w:val="24"/>
        </w:rPr>
        <w:t xml:space="preserve"> raportata la frecventa de colectare si </w:t>
      </w:r>
      <w:r w:rsidR="00652178">
        <w:rPr>
          <w:rFonts w:ascii="Times New Roman" w:hAnsi="Times New Roman" w:cs="Times New Roman"/>
          <w:color w:val="FF0000"/>
          <w:sz w:val="24"/>
          <w:szCs w:val="24"/>
        </w:rPr>
        <w:t>numărul</w:t>
      </w:r>
      <w:r w:rsidR="005B6541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652178">
        <w:rPr>
          <w:rFonts w:ascii="Times New Roman" w:hAnsi="Times New Roman" w:cs="Times New Roman"/>
          <w:color w:val="FF0000"/>
          <w:sz w:val="24"/>
          <w:szCs w:val="24"/>
        </w:rPr>
        <w:t>angajați</w:t>
      </w:r>
      <w:r w:rsidR="00FF3926" w:rsidRPr="004A2AA2">
        <w:rPr>
          <w:rFonts w:ascii="Times New Roman" w:hAnsi="Times New Roman" w:cs="Times New Roman"/>
          <w:color w:val="FF0000"/>
          <w:sz w:val="24"/>
          <w:szCs w:val="24"/>
        </w:rPr>
        <w:t>, conform formulei:</w:t>
      </w:r>
    </w:p>
    <w:p w:rsidR="00FF3926" w:rsidRPr="004A2AA2" w:rsidRDefault="00FF3926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4A2AA2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T= N* </w:t>
      </w:r>
      <w:r w:rsidR="004755F0">
        <w:rPr>
          <w:rFonts w:ascii="Times New Roman" w:hAnsi="Times New Roman"/>
          <w:b/>
          <w:color w:val="FF0000"/>
          <w:sz w:val="24"/>
          <w:szCs w:val="24"/>
        </w:rPr>
        <w:t>K</w:t>
      </w:r>
      <w:r w:rsidRPr="004A2A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55F0">
        <w:rPr>
          <w:rFonts w:ascii="Times New Roman" w:hAnsi="Times New Roman"/>
          <w:color w:val="FF0000"/>
          <w:sz w:val="24"/>
          <w:szCs w:val="24"/>
        </w:rPr>
        <w:t>*</w:t>
      </w:r>
      <w:r w:rsidR="004755F0" w:rsidRPr="009C7614">
        <w:rPr>
          <w:rFonts w:ascii="Times New Roman" w:hAnsi="Times New Roman"/>
          <w:b/>
          <w:color w:val="FF0000"/>
          <w:sz w:val="24"/>
          <w:szCs w:val="24"/>
        </w:rPr>
        <w:t>X</w:t>
      </w:r>
      <w:r w:rsidRPr="004A2AA2">
        <w:rPr>
          <w:rFonts w:ascii="Times New Roman" w:hAnsi="Times New Roman"/>
          <w:color w:val="FF0000"/>
          <w:sz w:val="24"/>
          <w:szCs w:val="24"/>
        </w:rPr>
        <w:t>, unde:</w:t>
      </w:r>
    </w:p>
    <w:p w:rsidR="00FF3926" w:rsidRPr="004A2AA2" w:rsidRDefault="00FF3926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4A2AA2">
        <w:rPr>
          <w:rFonts w:ascii="Times New Roman" w:hAnsi="Times New Roman"/>
          <w:color w:val="FF0000"/>
          <w:sz w:val="24"/>
          <w:szCs w:val="24"/>
        </w:rPr>
        <w:t>T = taxa de salubrizare;</w:t>
      </w:r>
    </w:p>
    <w:p w:rsidR="00FF3926" w:rsidRDefault="00FF3926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4A2AA2">
        <w:rPr>
          <w:rFonts w:ascii="Times New Roman" w:hAnsi="Times New Roman"/>
          <w:color w:val="FF0000"/>
          <w:sz w:val="24"/>
          <w:szCs w:val="24"/>
        </w:rPr>
        <w:t xml:space="preserve">N = </w:t>
      </w:r>
      <w:r w:rsidR="004755F0" w:rsidRPr="004A2AA2">
        <w:rPr>
          <w:rFonts w:ascii="Times New Roman" w:hAnsi="Times New Roman"/>
          <w:color w:val="FF0000"/>
          <w:sz w:val="24"/>
          <w:szCs w:val="24"/>
        </w:rPr>
        <w:t>număr</w:t>
      </w:r>
      <w:r w:rsidRPr="004A2AA2">
        <w:rPr>
          <w:rFonts w:ascii="Times New Roman" w:hAnsi="Times New Roman"/>
          <w:color w:val="FF0000"/>
          <w:sz w:val="24"/>
          <w:szCs w:val="24"/>
        </w:rPr>
        <w:t xml:space="preserve"> de </w:t>
      </w:r>
      <w:r w:rsidR="004755F0">
        <w:rPr>
          <w:rFonts w:ascii="Times New Roman" w:hAnsi="Times New Roman"/>
          <w:color w:val="FF0000"/>
          <w:sz w:val="24"/>
          <w:szCs w:val="24"/>
        </w:rPr>
        <w:t>recipiente generate</w:t>
      </w:r>
      <w:r w:rsidRPr="004A2AA2">
        <w:rPr>
          <w:rFonts w:ascii="Times New Roman" w:hAnsi="Times New Roman"/>
          <w:color w:val="FF0000"/>
          <w:sz w:val="24"/>
          <w:szCs w:val="24"/>
        </w:rPr>
        <w:t>;</w:t>
      </w:r>
    </w:p>
    <w:p w:rsidR="004755F0" w:rsidRPr="004A2AA2" w:rsidRDefault="004755F0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 = Frecventa de colectare</w:t>
      </w:r>
    </w:p>
    <w:p w:rsidR="0058543B" w:rsidRDefault="00691C2A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4A2AA2">
        <w:rPr>
          <w:rFonts w:ascii="Times New Roman" w:hAnsi="Times New Roman"/>
          <w:color w:val="FF0000"/>
          <w:sz w:val="24"/>
          <w:szCs w:val="24"/>
        </w:rPr>
        <w:t xml:space="preserve">X = </w:t>
      </w:r>
      <w:bookmarkStart w:id="0" w:name="_GoBack"/>
      <w:bookmarkEnd w:id="0"/>
      <w:r w:rsidR="0058543B">
        <w:rPr>
          <w:rFonts w:ascii="Times New Roman" w:hAnsi="Times New Roman"/>
          <w:color w:val="FF0000"/>
          <w:sz w:val="24"/>
          <w:szCs w:val="24"/>
        </w:rPr>
        <w:t xml:space="preserve">In </w:t>
      </w:r>
      <w:r w:rsidR="002E1D4B">
        <w:rPr>
          <w:rFonts w:ascii="Times New Roman" w:hAnsi="Times New Roman"/>
          <w:color w:val="FF0000"/>
          <w:sz w:val="24"/>
          <w:szCs w:val="24"/>
        </w:rPr>
        <w:t>funcție</w:t>
      </w:r>
      <w:r w:rsidR="0058543B">
        <w:rPr>
          <w:rFonts w:ascii="Times New Roman" w:hAnsi="Times New Roman"/>
          <w:color w:val="FF0000"/>
          <w:sz w:val="24"/>
          <w:szCs w:val="24"/>
        </w:rPr>
        <w:t xml:space="preserve"> de t</w:t>
      </w:r>
      <w:r w:rsidR="0083412B">
        <w:rPr>
          <w:rFonts w:ascii="Times New Roman" w:hAnsi="Times New Roman"/>
          <w:color w:val="FF0000"/>
          <w:sz w:val="24"/>
          <w:szCs w:val="24"/>
        </w:rPr>
        <w:t>ip</w:t>
      </w:r>
      <w:r w:rsidR="0058543B">
        <w:rPr>
          <w:rFonts w:ascii="Times New Roman" w:hAnsi="Times New Roman"/>
          <w:color w:val="FF0000"/>
          <w:sz w:val="24"/>
          <w:szCs w:val="24"/>
        </w:rPr>
        <w:t>ul de</w:t>
      </w:r>
      <w:r w:rsidR="0083412B">
        <w:rPr>
          <w:rFonts w:ascii="Times New Roman" w:hAnsi="Times New Roman"/>
          <w:color w:val="FF0000"/>
          <w:sz w:val="24"/>
          <w:szCs w:val="24"/>
        </w:rPr>
        <w:t xml:space="preserve"> recipient</w:t>
      </w:r>
      <w:r w:rsidR="00427D7E">
        <w:rPr>
          <w:rFonts w:ascii="Times New Roman" w:hAnsi="Times New Roman"/>
          <w:color w:val="FF0000"/>
          <w:sz w:val="24"/>
          <w:szCs w:val="24"/>
        </w:rPr>
        <w:t>, astfel</w:t>
      </w:r>
      <w:r w:rsidR="0058543B">
        <w:rPr>
          <w:rFonts w:ascii="Times New Roman" w:hAnsi="Times New Roman"/>
          <w:color w:val="FF0000"/>
          <w:sz w:val="24"/>
          <w:szCs w:val="24"/>
        </w:rPr>
        <w:t>:</w:t>
      </w:r>
    </w:p>
    <w:p w:rsidR="00427D7E" w:rsidRDefault="00427D7E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</w:p>
    <w:p w:rsidR="00427D7E" w:rsidRDefault="0058543B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  <w:vertAlign w:val="subscript"/>
        </w:rPr>
        <w:t>1</w:t>
      </w:r>
      <w:r w:rsidR="0083412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="00DA57E1">
        <w:rPr>
          <w:rFonts w:ascii="Times New Roman" w:hAnsi="Times New Roman"/>
          <w:color w:val="FF0000"/>
          <w:sz w:val="24"/>
          <w:szCs w:val="24"/>
        </w:rPr>
        <w:t xml:space="preserve">Valoare </w:t>
      </w:r>
      <w:r>
        <w:rPr>
          <w:rFonts w:ascii="Times New Roman" w:hAnsi="Times New Roman"/>
          <w:color w:val="FF0000"/>
          <w:sz w:val="24"/>
          <w:szCs w:val="24"/>
        </w:rPr>
        <w:t>pubela de 0,12 mc</w:t>
      </w:r>
      <w:r w:rsidR="003054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3412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="00305498">
        <w:rPr>
          <w:rFonts w:ascii="Times New Roman" w:hAnsi="Times New Roman"/>
          <w:color w:val="FF0000"/>
          <w:sz w:val="24"/>
          <w:szCs w:val="24"/>
        </w:rPr>
        <w:t>23</w:t>
      </w:r>
      <w:r w:rsidR="00963F41">
        <w:rPr>
          <w:rFonts w:ascii="Times New Roman" w:hAnsi="Times New Roman"/>
          <w:color w:val="FF0000"/>
          <w:sz w:val="24"/>
          <w:szCs w:val="24"/>
        </w:rPr>
        <w:t>8</w:t>
      </w:r>
      <w:r w:rsidR="00305498">
        <w:rPr>
          <w:rFonts w:ascii="Times New Roman" w:hAnsi="Times New Roman"/>
          <w:color w:val="FF0000"/>
          <w:sz w:val="24"/>
          <w:szCs w:val="24"/>
        </w:rPr>
        <w:t>,</w:t>
      </w:r>
      <w:r w:rsidR="00427D7E">
        <w:rPr>
          <w:rFonts w:ascii="Times New Roman" w:hAnsi="Times New Roman"/>
          <w:color w:val="FF0000"/>
          <w:sz w:val="24"/>
          <w:szCs w:val="24"/>
        </w:rPr>
        <w:t>63</w:t>
      </w:r>
      <w:r w:rsidR="00305498">
        <w:rPr>
          <w:rFonts w:ascii="Times New Roman" w:hAnsi="Times New Roman"/>
          <w:color w:val="FF0000"/>
          <w:sz w:val="24"/>
          <w:szCs w:val="24"/>
        </w:rPr>
        <w:t xml:space="preserve"> lei/mc</w:t>
      </w:r>
      <w:r w:rsidR="00427D7E">
        <w:rPr>
          <w:rFonts w:ascii="Times New Roman" w:hAnsi="Times New Roman"/>
          <w:color w:val="FF0000"/>
          <w:sz w:val="24"/>
          <w:szCs w:val="24"/>
        </w:rPr>
        <w:t xml:space="preserve"> = 2</w:t>
      </w:r>
      <w:r w:rsidR="00DA57E1">
        <w:rPr>
          <w:rFonts w:ascii="Times New Roman" w:hAnsi="Times New Roman"/>
          <w:color w:val="FF0000"/>
          <w:sz w:val="24"/>
          <w:szCs w:val="24"/>
        </w:rPr>
        <w:t xml:space="preserve">9 </w:t>
      </w:r>
      <w:r w:rsidR="00427D7E">
        <w:rPr>
          <w:rFonts w:ascii="Times New Roman" w:hAnsi="Times New Roman"/>
          <w:color w:val="FF0000"/>
          <w:sz w:val="24"/>
          <w:szCs w:val="24"/>
        </w:rPr>
        <w:t>lei/pubela</w:t>
      </w:r>
    </w:p>
    <w:p w:rsidR="00427D7E" w:rsidRDefault="00427D7E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  <w:vertAlign w:val="subscript"/>
        </w:rPr>
        <w:t xml:space="preserve">2 – </w:t>
      </w:r>
      <w:r w:rsidR="002E1D4B">
        <w:rPr>
          <w:rFonts w:ascii="Times New Roman" w:hAnsi="Times New Roman"/>
          <w:color w:val="FF0000"/>
          <w:sz w:val="24"/>
          <w:szCs w:val="24"/>
          <w:vertAlign w:val="subscript"/>
        </w:rPr>
        <w:t xml:space="preserve"> </w:t>
      </w:r>
      <w:r w:rsidR="00DA57E1" w:rsidRPr="00DA57E1">
        <w:rPr>
          <w:rFonts w:ascii="Times New Roman" w:hAnsi="Times New Roman"/>
          <w:color w:val="FF0000"/>
          <w:sz w:val="24"/>
          <w:szCs w:val="24"/>
        </w:rPr>
        <w:t>Valoare</w:t>
      </w:r>
      <w:r w:rsidR="00DA57E1">
        <w:rPr>
          <w:rFonts w:ascii="Times New Roman" w:hAnsi="Times New Roman"/>
          <w:color w:val="FF0000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contai</w:t>
      </w:r>
      <w:r w:rsidRPr="00427D7E">
        <w:rPr>
          <w:rFonts w:ascii="Times New Roman" w:hAnsi="Times New Roman"/>
          <w:color w:val="FF0000"/>
          <w:sz w:val="24"/>
          <w:szCs w:val="24"/>
        </w:rPr>
        <w:t>ner</w:t>
      </w:r>
      <w:r>
        <w:rPr>
          <w:rFonts w:ascii="Times New Roman" w:hAnsi="Times New Roman"/>
          <w:color w:val="FF0000"/>
          <w:sz w:val="24"/>
          <w:szCs w:val="24"/>
        </w:rPr>
        <w:t xml:space="preserve"> de 1,1 mc * 238,63 lei/mc = </w:t>
      </w:r>
      <w:r w:rsidR="00DA57E1">
        <w:rPr>
          <w:rFonts w:ascii="Times New Roman" w:hAnsi="Times New Roman"/>
          <w:color w:val="FF0000"/>
          <w:sz w:val="24"/>
          <w:szCs w:val="24"/>
        </w:rPr>
        <w:t>263</w:t>
      </w:r>
      <w:r>
        <w:rPr>
          <w:rFonts w:ascii="Times New Roman" w:hAnsi="Times New Roman"/>
          <w:color w:val="FF0000"/>
          <w:sz w:val="24"/>
          <w:szCs w:val="24"/>
        </w:rPr>
        <w:t xml:space="preserve"> lei/container </w:t>
      </w:r>
    </w:p>
    <w:p w:rsidR="00427D7E" w:rsidRPr="00427D7E" w:rsidRDefault="00427D7E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  <w:vertAlign w:val="subscript"/>
        </w:rPr>
      </w:pPr>
    </w:p>
    <w:p w:rsidR="002E1D4B" w:rsidRDefault="002E1D4B" w:rsidP="00FF3926">
      <w:pPr>
        <w:pStyle w:val="NoSpacing"/>
        <w:ind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Calculele pentru tipurile de recipiente menționate mai sus  s-au efectuat ținând cont de:</w:t>
      </w:r>
    </w:p>
    <w:p w:rsidR="002E1D4B" w:rsidRDefault="002E1D4B" w:rsidP="002E1D4B">
      <w:pPr>
        <w:pStyle w:val="NoSpacing"/>
        <w:numPr>
          <w:ilvl w:val="0"/>
          <w:numId w:val="5"/>
        </w:num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Media cantităților de deșeuri municipale generate, din istoricul pe care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il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detine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UAT din rapoartele transmise de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catre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operatorul de colectare si transport cu privire la cantitățile de deșeuri municipale colectate in anul 2021.</w:t>
      </w:r>
    </w:p>
    <w:p w:rsidR="00FF3926" w:rsidRDefault="002E1D4B" w:rsidP="002E1D4B">
      <w:pPr>
        <w:pStyle w:val="NoSpacing"/>
        <w:numPr>
          <w:ilvl w:val="0"/>
          <w:numId w:val="5"/>
        </w:num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Media</w:t>
      </w:r>
      <w:r w:rsidR="00305498">
        <w:rPr>
          <w:rFonts w:ascii="Times New Roman" w:hAnsi="Times New Roman"/>
          <w:color w:val="FF0000"/>
          <w:sz w:val="24"/>
          <w:szCs w:val="24"/>
        </w:rPr>
        <w:t xml:space="preserve"> tariful</w:t>
      </w:r>
      <w:r>
        <w:rPr>
          <w:rFonts w:ascii="Times New Roman" w:hAnsi="Times New Roman"/>
          <w:color w:val="FF0000"/>
          <w:sz w:val="24"/>
          <w:szCs w:val="24"/>
        </w:rPr>
        <w:t xml:space="preserve">ui variabil ADIS, V1 si V2 din anul 2021 respectiv </w:t>
      </w:r>
      <w:r w:rsidR="00046154">
        <w:rPr>
          <w:rFonts w:ascii="Times New Roman" w:hAnsi="Times New Roman"/>
          <w:color w:val="FF0000"/>
          <w:sz w:val="24"/>
          <w:szCs w:val="24"/>
        </w:rPr>
        <w:t xml:space="preserve">V1 =458 lei/tona </w:t>
      </w:r>
      <w:r>
        <w:rPr>
          <w:rFonts w:ascii="Times New Roman" w:hAnsi="Times New Roman"/>
          <w:color w:val="FF0000"/>
          <w:sz w:val="24"/>
          <w:szCs w:val="24"/>
        </w:rPr>
        <w:t xml:space="preserve">- colectare si transport zona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Romprest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46154">
        <w:rPr>
          <w:rFonts w:ascii="Times New Roman" w:hAnsi="Times New Roman"/>
          <w:color w:val="FF0000"/>
          <w:sz w:val="24"/>
          <w:szCs w:val="24"/>
        </w:rPr>
        <w:t>si V2 = 224 lei / tona</w:t>
      </w:r>
      <w:r>
        <w:rPr>
          <w:rFonts w:ascii="Times New Roman" w:hAnsi="Times New Roman"/>
          <w:color w:val="FF0000"/>
          <w:sz w:val="24"/>
          <w:szCs w:val="24"/>
        </w:rPr>
        <w:t>- operare instalație Eco-Sud.</w:t>
      </w:r>
    </w:p>
    <w:p w:rsidR="008E2269" w:rsidRDefault="008E2269" w:rsidP="0004615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6B8" w:rsidRPr="00E227F4" w:rsidRDefault="00E03809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(2)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Reprezentantul legal al persoanei juridice are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depunerii până la data de 31 ianuarie a fiecărui an calendaristic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Declaratia</w:t>
      </w:r>
      <w:proofErr w:type="spellEnd"/>
      <w:r w:rsidR="00FF392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impunere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in vederea stabilirii taxei </w:t>
      </w:r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de salubrizare, cuprinzând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toţi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salariatii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la sediul social, inclusiv de la punctele de lucru sau sedii secundare (daca este cazul) de pe teritoriul </w:t>
      </w:r>
      <w:proofErr w:type="spellStart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="006076B8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administrativ-terito</w:t>
      </w:r>
      <w:r w:rsidR="00046154">
        <w:rPr>
          <w:rFonts w:ascii="Times New Roman" w:hAnsi="Times New Roman" w:cs="Times New Roman"/>
          <w:color w:val="000000"/>
          <w:sz w:val="24"/>
          <w:szCs w:val="24"/>
        </w:rPr>
        <w:t xml:space="preserve">riale </w:t>
      </w:r>
      <w:r w:rsidR="00A5102D">
        <w:rPr>
          <w:rFonts w:ascii="Times New Roman" w:hAnsi="Times New Roman" w:cs="Times New Roman"/>
          <w:color w:val="000000"/>
          <w:sz w:val="24"/>
          <w:szCs w:val="24"/>
        </w:rPr>
        <w:t>Dărmănești</w:t>
      </w:r>
      <w:r w:rsidR="00046154">
        <w:rPr>
          <w:rFonts w:ascii="Times New Roman" w:hAnsi="Times New Roman" w:cs="Times New Roman"/>
          <w:color w:val="000000"/>
          <w:sz w:val="24"/>
          <w:szCs w:val="24"/>
        </w:rPr>
        <w:t xml:space="preserve">, si respectiv specificarea numărului si tipurile de </w:t>
      </w:r>
      <w:proofErr w:type="spellStart"/>
      <w:r w:rsidR="00046154">
        <w:rPr>
          <w:rFonts w:ascii="Times New Roman" w:hAnsi="Times New Roman" w:cs="Times New Roman"/>
          <w:color w:val="000000"/>
          <w:sz w:val="24"/>
          <w:szCs w:val="24"/>
        </w:rPr>
        <w:t>recipienti</w:t>
      </w:r>
      <w:proofErr w:type="spellEnd"/>
      <w:r w:rsidR="00046154">
        <w:rPr>
          <w:rFonts w:ascii="Times New Roman" w:hAnsi="Times New Roman" w:cs="Times New Roman"/>
          <w:color w:val="000000"/>
          <w:sz w:val="24"/>
          <w:szCs w:val="24"/>
        </w:rPr>
        <w:t xml:space="preserve"> utilizați</w:t>
      </w:r>
      <w:r w:rsidR="00ED5622">
        <w:rPr>
          <w:rFonts w:ascii="Times New Roman" w:hAnsi="Times New Roman" w:cs="Times New Roman"/>
          <w:color w:val="000000"/>
          <w:sz w:val="24"/>
          <w:szCs w:val="24"/>
        </w:rPr>
        <w:t xml:space="preserve"> necesari </w:t>
      </w:r>
      <w:r w:rsidR="00A5102D">
        <w:rPr>
          <w:rFonts w:ascii="Times New Roman" w:hAnsi="Times New Roman" w:cs="Times New Roman"/>
          <w:color w:val="000000"/>
          <w:sz w:val="24"/>
          <w:szCs w:val="24"/>
        </w:rPr>
        <w:t>societății</w:t>
      </w:r>
      <w:r w:rsidR="00ED56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BA8" w:rsidRPr="008929CE" w:rsidRDefault="001C0BA8" w:rsidP="00FF392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(3)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Taxa stabilita pentru persoanele non-casnice va fi corelata cu cantitatea de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deseu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generat de </w:t>
      </w:r>
      <w:r w:rsidR="00A5102D">
        <w:rPr>
          <w:rFonts w:ascii="Times New Roman" w:hAnsi="Times New Roman" w:cs="Times New Roman"/>
          <w:color w:val="000000"/>
          <w:sz w:val="24"/>
          <w:szCs w:val="24"/>
        </w:rPr>
        <w:t xml:space="preserve">fiecare agent economic in parte, fiind stabilit pentru fiecare tip de utilizator non-casnic un </w:t>
      </w:r>
      <w:r w:rsidR="00515B68">
        <w:rPr>
          <w:rFonts w:ascii="Times New Roman" w:hAnsi="Times New Roman" w:cs="Times New Roman"/>
          <w:color w:val="000000"/>
          <w:sz w:val="24"/>
          <w:szCs w:val="24"/>
        </w:rPr>
        <w:t xml:space="preserve">minim obligatoriu in </w:t>
      </w:r>
      <w:proofErr w:type="spellStart"/>
      <w:r w:rsidR="00515B68">
        <w:rPr>
          <w:rFonts w:ascii="Times New Roman" w:hAnsi="Times New Roman" w:cs="Times New Roman"/>
          <w:color w:val="000000"/>
          <w:sz w:val="24"/>
          <w:szCs w:val="24"/>
        </w:rPr>
        <w:t>functie</w:t>
      </w:r>
      <w:proofErr w:type="spellEnd"/>
      <w:r w:rsidR="00515B68">
        <w:rPr>
          <w:rFonts w:ascii="Times New Roman" w:hAnsi="Times New Roman" w:cs="Times New Roman"/>
          <w:color w:val="000000"/>
          <w:sz w:val="24"/>
          <w:szCs w:val="24"/>
        </w:rPr>
        <w:t xml:space="preserve"> de numărul de salariați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B68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r w:rsidR="00515B68" w:rsidRPr="008929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Anexei nr. 1 – Modalitate de stabilire a taxei de salubrizare </w:t>
      </w:r>
      <w:r w:rsidR="008929CE" w:rsidRPr="008929CE">
        <w:rPr>
          <w:rFonts w:ascii="Times New Roman" w:hAnsi="Times New Roman" w:cs="Times New Roman"/>
          <w:b/>
          <w:color w:val="000000"/>
          <w:sz w:val="24"/>
          <w:szCs w:val="24"/>
        </w:rPr>
        <w:t>pentru utilizatori non-casnici.</w:t>
      </w:r>
    </w:p>
    <w:p w:rsidR="00FF3926" w:rsidRPr="008929CE" w:rsidRDefault="001C0BA8" w:rsidP="008929C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(4) </w:t>
      </w:r>
      <w:r w:rsidRPr="00515B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in care, agentul economic va genera o cantitate de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deseu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menajer mai mare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cotravalo</w:t>
      </w:r>
      <w:r w:rsidR="00BE3D65">
        <w:rPr>
          <w:rFonts w:ascii="Times New Roman" w:hAnsi="Times New Roman" w:cs="Times New Roman"/>
          <w:color w:val="000000"/>
          <w:sz w:val="24"/>
          <w:szCs w:val="24"/>
        </w:rPr>
        <w:t>area</w:t>
      </w:r>
      <w:proofErr w:type="spellEnd"/>
      <w:r w:rsidR="00BE3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D65">
        <w:rPr>
          <w:rFonts w:ascii="Times New Roman" w:hAnsi="Times New Roman" w:cs="Times New Roman"/>
          <w:color w:val="000000"/>
          <w:sz w:val="24"/>
          <w:szCs w:val="24"/>
        </w:rPr>
        <w:t>incasata</w:t>
      </w:r>
      <w:proofErr w:type="spellEnd"/>
      <w:r w:rsidR="00BE3D65">
        <w:rPr>
          <w:rFonts w:ascii="Times New Roman" w:hAnsi="Times New Roman" w:cs="Times New Roman"/>
          <w:color w:val="000000"/>
          <w:sz w:val="24"/>
          <w:szCs w:val="24"/>
        </w:rPr>
        <w:t xml:space="preserve"> prin taxa de salubrizare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, UAT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Orasul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va calcula taxa in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functie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cantitatea de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deseu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menajer generat. </w:t>
      </w:r>
    </w:p>
    <w:p w:rsidR="00B3147F" w:rsidRPr="00E027DA" w:rsidRDefault="005D48D8" w:rsidP="00E027D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22 </w:t>
      </w:r>
      <w:r w:rsidR="00B3147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Cuantumul taxei de salubrizare </w:t>
      </w:r>
      <w:r w:rsidR="00FF392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pentru persoanele non-casnice </w:t>
      </w:r>
      <w:r w:rsidR="00B3147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se va aproba anual </w:t>
      </w:r>
      <w:r w:rsidR="008929CE">
        <w:rPr>
          <w:rFonts w:ascii="Times New Roman" w:hAnsi="Times New Roman" w:cs="Times New Roman"/>
          <w:color w:val="000000"/>
          <w:sz w:val="24"/>
          <w:szCs w:val="24"/>
        </w:rPr>
        <w:t xml:space="preserve">sau  ori de cate ori intervine o modificare in tarifele practicate de ADIS, </w:t>
      </w:r>
      <w:r w:rsidR="00B3147F" w:rsidRPr="00E227F4">
        <w:rPr>
          <w:rFonts w:ascii="Times New Roman" w:hAnsi="Times New Roman" w:cs="Times New Roman"/>
          <w:color w:val="000000"/>
          <w:sz w:val="24"/>
          <w:szCs w:val="24"/>
        </w:rPr>
        <w:t>prin hotărâre a Consiliului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BE3D65">
        <w:rPr>
          <w:rFonts w:ascii="Times New Roman" w:hAnsi="Times New Roman" w:cs="Times New Roman"/>
          <w:color w:val="000000"/>
          <w:sz w:val="24"/>
          <w:szCs w:val="24"/>
        </w:rPr>
        <w:t xml:space="preserve">ocal. </w:t>
      </w:r>
      <w:r w:rsidR="00BE3D65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Taxa</w:t>
      </w:r>
      <w:r w:rsidR="00B3147F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de salubrizare se poate actualiza, conform </w:t>
      </w:r>
      <w:proofErr w:type="spellStart"/>
      <w:r w:rsidR="00B3147F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legislaţiei</w:t>
      </w:r>
      <w:proofErr w:type="spellEnd"/>
      <w:r w:rsidR="00B3147F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în vigoare, în </w:t>
      </w:r>
      <w:proofErr w:type="spellStart"/>
      <w:r w:rsidR="00B3147F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funcţie</w:t>
      </w:r>
      <w:proofErr w:type="spellEnd"/>
      <w:r w:rsidR="00B3147F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de următoarele criterii:</w:t>
      </w:r>
    </w:p>
    <w:p w:rsidR="00B3147F" w:rsidRPr="00FC3F15" w:rsidRDefault="00FF3926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a) Indicele de </w:t>
      </w:r>
      <w:proofErr w:type="spellStart"/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inflaţie</w:t>
      </w:r>
      <w:proofErr w:type="spellEnd"/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pentru</w:t>
      </w:r>
      <w:r w:rsidR="00B3147F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servicii;</w:t>
      </w:r>
    </w:p>
    <w:p w:rsidR="00B3147F" w:rsidRPr="00FC3F15" w:rsidRDefault="00B3147F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b) </w:t>
      </w:r>
      <w:proofErr w:type="spellStart"/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Creşterea</w:t>
      </w:r>
      <w:proofErr w:type="spellEnd"/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costurilor la </w:t>
      </w:r>
      <w:r w:rsidR="00FC3F15"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elementele componente ale taxei</w:t>
      </w:r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(</w:t>
      </w:r>
      <w:proofErr w:type="spellStart"/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carburanţi</w:t>
      </w:r>
      <w:proofErr w:type="spellEnd"/>
      <w:r w:rsidRPr="00FC3F15">
        <w:rPr>
          <w:rFonts w:ascii="Times New Roman" w:hAnsi="Times New Roman" w:cs="Times New Roman"/>
          <w:color w:val="8064A2" w:themeColor="accent4"/>
          <w:sz w:val="24"/>
          <w:szCs w:val="24"/>
        </w:rPr>
        <w:t>, taxa de depozitare conform reglementărilor legale în materie).</w:t>
      </w:r>
    </w:p>
    <w:p w:rsidR="00E027DA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7F4">
        <w:rPr>
          <w:rFonts w:ascii="Times New Roman" w:hAnsi="Times New Roman" w:cs="Times New Roman"/>
          <w:b/>
          <w:sz w:val="24"/>
          <w:szCs w:val="24"/>
        </w:rPr>
        <w:t xml:space="preserve">Art. 23 </w:t>
      </w:r>
      <w:r w:rsidR="00685A1F" w:rsidRPr="00E227F4">
        <w:rPr>
          <w:rFonts w:ascii="Times New Roman" w:hAnsi="Times New Roman" w:cs="Times New Roman"/>
          <w:sz w:val="24"/>
          <w:szCs w:val="24"/>
        </w:rPr>
        <w:t xml:space="preserve">În conformitate cu prevederile </w:t>
      </w:r>
      <w:proofErr w:type="spellStart"/>
      <w:r w:rsidR="00685A1F" w:rsidRPr="00E227F4">
        <w:rPr>
          <w:rFonts w:ascii="Times New Roman" w:hAnsi="Times New Roman" w:cs="Times New Roman"/>
          <w:sz w:val="24"/>
          <w:szCs w:val="24"/>
        </w:rPr>
        <w:t>legis</w:t>
      </w:r>
      <w:r w:rsidR="00E027DA">
        <w:rPr>
          <w:rFonts w:ascii="Times New Roman" w:hAnsi="Times New Roman" w:cs="Times New Roman"/>
          <w:sz w:val="24"/>
          <w:szCs w:val="24"/>
        </w:rPr>
        <w:t>laţiei</w:t>
      </w:r>
      <w:proofErr w:type="spellEnd"/>
      <w:r w:rsidR="00E027DA">
        <w:rPr>
          <w:rFonts w:ascii="Times New Roman" w:hAnsi="Times New Roman" w:cs="Times New Roman"/>
          <w:sz w:val="24"/>
          <w:szCs w:val="24"/>
        </w:rPr>
        <w:t xml:space="preserve"> în vigoare, generatorii</w:t>
      </w:r>
      <w:r w:rsidR="00685A1F" w:rsidRPr="00E227F4">
        <w:rPr>
          <w:rFonts w:ascii="Times New Roman" w:hAnsi="Times New Roman" w:cs="Times New Roman"/>
          <w:sz w:val="24"/>
          <w:szCs w:val="24"/>
        </w:rPr>
        <w:t xml:space="preserve"> de </w:t>
      </w:r>
      <w:r w:rsidR="00E027DA" w:rsidRPr="00E227F4">
        <w:rPr>
          <w:rFonts w:ascii="Times New Roman" w:hAnsi="Times New Roman" w:cs="Times New Roman"/>
          <w:sz w:val="24"/>
          <w:szCs w:val="24"/>
        </w:rPr>
        <w:t>deșeuri</w:t>
      </w:r>
      <w:r w:rsidR="00685A1F" w:rsidRPr="00E227F4">
        <w:rPr>
          <w:rFonts w:ascii="Times New Roman" w:hAnsi="Times New Roman" w:cs="Times New Roman"/>
          <w:sz w:val="24"/>
          <w:szCs w:val="24"/>
        </w:rPr>
        <w:t xml:space="preserve"> municipale </w:t>
      </w:r>
      <w:r w:rsidR="00E027DA">
        <w:rPr>
          <w:rFonts w:ascii="Times New Roman" w:hAnsi="Times New Roman" w:cs="Times New Roman"/>
          <w:sz w:val="24"/>
          <w:szCs w:val="24"/>
        </w:rPr>
        <w:t xml:space="preserve">vor avea la </w:t>
      </w:r>
      <w:r w:rsidR="00E027DA" w:rsidRPr="00E227F4">
        <w:rPr>
          <w:rFonts w:ascii="Times New Roman" w:hAnsi="Times New Roman" w:cs="Times New Roman"/>
          <w:sz w:val="24"/>
          <w:szCs w:val="24"/>
        </w:rPr>
        <w:t>dispoziție</w:t>
      </w:r>
      <w:r w:rsidR="00685A1F" w:rsidRPr="00E227F4">
        <w:rPr>
          <w:rFonts w:ascii="Times New Roman" w:hAnsi="Times New Roman" w:cs="Times New Roman"/>
          <w:sz w:val="24"/>
          <w:szCs w:val="24"/>
        </w:rPr>
        <w:t xml:space="preserve"> </w:t>
      </w:r>
      <w:r w:rsidR="00E027DA" w:rsidRPr="00E227F4">
        <w:rPr>
          <w:rFonts w:ascii="Times New Roman" w:hAnsi="Times New Roman" w:cs="Times New Roman"/>
          <w:sz w:val="24"/>
          <w:szCs w:val="24"/>
        </w:rPr>
        <w:t>opțiunea</w:t>
      </w:r>
      <w:r w:rsidR="00685A1F" w:rsidRPr="00E227F4">
        <w:rPr>
          <w:rFonts w:ascii="Times New Roman" w:hAnsi="Times New Roman" w:cs="Times New Roman"/>
          <w:sz w:val="24"/>
          <w:szCs w:val="24"/>
        </w:rPr>
        <w:t xml:space="preserve"> aplicării instrumentului economic „</w:t>
      </w:r>
      <w:proofErr w:type="spellStart"/>
      <w:r w:rsidR="00685A1F" w:rsidRPr="00E227F4">
        <w:rPr>
          <w:rFonts w:ascii="Times New Roman" w:hAnsi="Times New Roman" w:cs="Times New Roman"/>
          <w:i/>
          <w:sz w:val="24"/>
          <w:szCs w:val="24"/>
        </w:rPr>
        <w:t>plăteşte</w:t>
      </w:r>
      <w:proofErr w:type="spellEnd"/>
      <w:r w:rsidR="00685A1F" w:rsidRPr="00E227F4">
        <w:rPr>
          <w:rFonts w:ascii="Times New Roman" w:hAnsi="Times New Roman" w:cs="Times New Roman"/>
          <w:i/>
          <w:sz w:val="24"/>
          <w:szCs w:val="24"/>
        </w:rPr>
        <w:t xml:space="preserve"> pentru cât arunci</w:t>
      </w:r>
      <w:r w:rsidR="00685A1F" w:rsidRPr="00E227F4">
        <w:rPr>
          <w:rFonts w:ascii="Times New Roman" w:hAnsi="Times New Roman" w:cs="Times New Roman"/>
          <w:sz w:val="24"/>
          <w:szCs w:val="24"/>
        </w:rPr>
        <w:t xml:space="preserve">“. Rolul implementării acestui instrument este pe de o parte de a stimula prevenirea generării </w:t>
      </w:r>
      <w:proofErr w:type="spellStart"/>
      <w:r w:rsidR="00685A1F" w:rsidRPr="00E227F4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="00685A1F" w:rsidRPr="00E22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A1F" w:rsidRPr="00E22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A1F" w:rsidRPr="00E227F4">
        <w:rPr>
          <w:rFonts w:ascii="Times New Roman" w:hAnsi="Times New Roman" w:cs="Times New Roman"/>
          <w:sz w:val="24"/>
          <w:szCs w:val="24"/>
        </w:rPr>
        <w:t xml:space="preserve">, pe de altă parte stimularea colectării separate a </w:t>
      </w:r>
      <w:proofErr w:type="spellStart"/>
      <w:r w:rsidR="00685A1F" w:rsidRPr="00E227F4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="00685A1F" w:rsidRPr="00E227F4">
        <w:rPr>
          <w:rFonts w:ascii="Times New Roman" w:hAnsi="Times New Roman" w:cs="Times New Roman"/>
          <w:sz w:val="24"/>
          <w:szCs w:val="24"/>
        </w:rPr>
        <w:t xml:space="preserve"> reciclabile.</w:t>
      </w:r>
      <w:r w:rsidRPr="00E22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A1F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24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In cazul utilizatorilor non-</w:t>
      </w:r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>casnici (operatori economic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) aplicarea instrumentului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economic „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plăteşte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pentru cât arunci” se va face în </w:t>
      </w:r>
      <w:r w:rsidR="00E027DA" w:rsidRPr="00E227F4">
        <w:rPr>
          <w:rFonts w:ascii="Times New Roman" w:hAnsi="Times New Roman" w:cs="Times New Roman"/>
          <w:color w:val="000000"/>
          <w:sz w:val="24"/>
          <w:szCs w:val="24"/>
        </w:rPr>
        <w:t>funcție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E027DA">
        <w:rPr>
          <w:rFonts w:ascii="Times New Roman" w:hAnsi="Times New Roman" w:cs="Times New Roman"/>
          <w:color w:val="000000"/>
          <w:sz w:val="24"/>
          <w:szCs w:val="24"/>
        </w:rPr>
        <w:t xml:space="preserve"> numărul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recipientelor de colectare </w:t>
      </w:r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>deşeurilor</w:t>
      </w:r>
      <w:proofErr w:type="spellEnd"/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menajere. </w:t>
      </w:r>
    </w:p>
    <w:p w:rsidR="005D48D8" w:rsidRPr="00E227F4" w:rsidRDefault="005D48D8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48D8" w:rsidRPr="00E227F4" w:rsidRDefault="005D48D8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>TERMENE</w:t>
      </w:r>
      <w:r w:rsidR="00FC3F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SI MODALITATI DE PLATA A TAXEI</w:t>
      </w: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SALUBRIZARE </w:t>
      </w:r>
    </w:p>
    <w:p w:rsidR="005D48D8" w:rsidRPr="00E227F4" w:rsidRDefault="005D48D8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10"/>
          <w:szCs w:val="10"/>
        </w:rPr>
      </w:pPr>
    </w:p>
    <w:p w:rsidR="00685A1F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25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Taxa se calculează/datorează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cu numărul lunilor rămase din anul in curs.</w:t>
      </w:r>
    </w:p>
    <w:p w:rsidR="00685A1F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26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Neplata taxei la termenele stabilite, respectiv întârzierea la plată atrage după sine calculul</w:t>
      </w:r>
      <w:r w:rsidR="00AE5BA7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plata majorărilor de întârziere. </w:t>
      </w:r>
    </w:p>
    <w:p w:rsidR="00685A1F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27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Taxă 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de salubrizare plătită in plus se compensează in termen de 30 de zile de la data depunerii cererii formulată în acest sens.</w:t>
      </w:r>
    </w:p>
    <w:p w:rsidR="00861695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28 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Neplata taxei la termenele stabilite atrage după sine, calculul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plata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majorǎrilor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de întârziere precum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aplicarea măsurilor de urmărire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executare silită conform Legii nr. 207/2015</w:t>
      </w:r>
      <w:r w:rsidR="00861695" w:rsidRPr="00E227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privind</w:t>
      </w:r>
      <w:r w:rsidR="00861695" w:rsidRPr="00E227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Codul</w:t>
      </w:r>
      <w:r w:rsidR="00861695" w:rsidRPr="00E227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de</w:t>
      </w:r>
      <w:r w:rsidR="00861695" w:rsidRPr="00E227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procedură</w:t>
      </w:r>
      <w:r w:rsidR="00861695" w:rsidRPr="00E227F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fiscal,</w:t>
      </w:r>
      <w:r w:rsidR="00861695" w:rsidRPr="00E227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cu</w:t>
      </w:r>
      <w:r w:rsidR="00861695" w:rsidRPr="00E227F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861695" w:rsidRPr="00E227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cu</w:t>
      </w:r>
      <w:r w:rsidR="00861695" w:rsidRPr="00E227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861695" w:rsidRPr="00E227F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si</w:t>
      </w:r>
      <w:r w:rsidR="00861695" w:rsidRPr="00E227F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ulterioare.</w:t>
      </w:r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Pentru recuperarea su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>melor datorate cu titlu de taxă</w:t>
      </w:r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salubrizare se aplică măsurile de urmărire </w:t>
      </w:r>
      <w:proofErr w:type="spellStart"/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executare silită prevăzute de </w:t>
      </w:r>
      <w:proofErr w:type="spellStart"/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>legislaţia</w:t>
      </w:r>
      <w:proofErr w:type="spellEnd"/>
      <w:r w:rsidR="00861695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specială în vigoare.</w:t>
      </w:r>
    </w:p>
    <w:p w:rsidR="00685A1F" w:rsidRPr="00E227F4" w:rsidRDefault="00685A1F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A1F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29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In cazul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dizolvarii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/falimentului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, taxa de salubrizare va fi sistata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incepand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cu luna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urmatoare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dupa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ce au fost depuse documente justificative in acest sens. </w:t>
      </w:r>
    </w:p>
    <w:p w:rsidR="00861695" w:rsidRPr="00E227F4" w:rsidRDefault="005D48D8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Art. 30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Taxa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de salubrizare se </w:t>
      </w:r>
      <w:r w:rsidR="00D000B2" w:rsidRPr="00E227F4">
        <w:rPr>
          <w:rFonts w:ascii="Times New Roman" w:hAnsi="Times New Roman" w:cs="Times New Roman"/>
          <w:color w:val="000000"/>
          <w:sz w:val="24"/>
          <w:szCs w:val="24"/>
        </w:rPr>
        <w:t>încasează</w:t>
      </w:r>
      <w:r w:rsidR="001C386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in numerar si POS prin intermediul cardului bancar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la casieria Serviciului Ec</w:t>
      </w:r>
      <w:r w:rsidR="001C3866" w:rsidRPr="00E227F4"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mic – Co</w:t>
      </w:r>
      <w:r w:rsidR="001C3866" w:rsidRPr="00E227F4">
        <w:rPr>
          <w:rFonts w:ascii="Times New Roman" w:hAnsi="Times New Roman" w:cs="Times New Roman"/>
          <w:color w:val="000000"/>
          <w:sz w:val="24"/>
          <w:szCs w:val="24"/>
        </w:rPr>
        <w:t>mpartiment impozite si taxe, prin transfer bancar in contul deschis la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Trezorerie</w:t>
      </w:r>
      <w:r w:rsidR="001C3866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si prin intermediul cardului bancar pe platforma ghiseul.ro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61695" w:rsidRPr="00E227F4">
        <w:rPr>
          <w:rFonts w:ascii="Times New Roman" w:hAnsi="Times New Roman" w:cs="Times New Roman"/>
          <w:color w:val="000000" w:themeColor="text1"/>
          <w:sz w:val="24"/>
          <w:szCs w:val="24"/>
        </w:rPr>
        <w:t>Termenul de plata a taxe</w:t>
      </w:r>
      <w:r w:rsidR="00FC3F1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61695" w:rsidRPr="00E2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salubrizare </w:t>
      </w:r>
      <w:r w:rsidR="00861695" w:rsidRPr="00E227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este ultima zi </w:t>
      </w:r>
      <w:r w:rsidR="00D000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lucrătoare</w:t>
      </w:r>
      <w:r w:rsidR="00FC3F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861695" w:rsidRPr="00E227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pentru luna in</w:t>
      </w:r>
      <w:r w:rsidR="00861695" w:rsidRPr="00E227F4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u w:val="single"/>
        </w:rPr>
        <w:t xml:space="preserve"> </w:t>
      </w:r>
      <w:r w:rsidR="00861695" w:rsidRPr="00E227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curs</w:t>
      </w:r>
      <w:r w:rsidR="00861695" w:rsidRPr="00E22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1695" w:rsidRPr="00E227F4" w:rsidRDefault="00E227F4" w:rsidP="00861695">
      <w:pPr>
        <w:widowControl w:val="0"/>
        <w:tabs>
          <w:tab w:val="left" w:pos="850"/>
        </w:tabs>
        <w:autoSpaceDE w:val="0"/>
        <w:autoSpaceDN w:val="0"/>
        <w:spacing w:before="12" w:after="0" w:line="266" w:lineRule="auto"/>
        <w:ind w:right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b/>
          <w:sz w:val="24"/>
          <w:szCs w:val="24"/>
        </w:rPr>
        <w:t>Art. 31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 Orice modificare privind datele înscrise în prezenta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va fi comunicată, în scris, Compartimentului Impozite si Taxe din cadrul UAT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Darmanesti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, </w:t>
      </w:r>
      <w:r w:rsidR="00861695" w:rsidRPr="00E227F4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în termen de 30 zile de la data producerii acesteia în vederea operării, prin completarea unei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rectificative. Nedepunerea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declaraţiei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sau a unei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noi in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in care intervin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depunerea acestora peste termen duce la suspendarea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autorizatiei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cu amendă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cuprinsă între </w:t>
      </w:r>
      <w:r w:rsidR="00C30C29">
        <w:rPr>
          <w:rFonts w:ascii="Times New Roman" w:hAnsi="Times New Roman" w:cs="Times New Roman"/>
          <w:sz w:val="24"/>
          <w:szCs w:val="24"/>
        </w:rPr>
        <w:t>2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00 lei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2500</w:t>
      </w:r>
      <w:r w:rsidR="00861695" w:rsidRPr="00E227F4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lei.</w:t>
      </w:r>
    </w:p>
    <w:p w:rsidR="00861695" w:rsidRPr="00E227F4" w:rsidRDefault="00E227F4" w:rsidP="00861695">
      <w:pPr>
        <w:widowControl w:val="0"/>
        <w:tabs>
          <w:tab w:val="left" w:pos="850"/>
        </w:tabs>
        <w:autoSpaceDE w:val="0"/>
        <w:autoSpaceDN w:val="0"/>
        <w:spacing w:before="3" w:after="0" w:line="259" w:lineRule="auto"/>
        <w:ind w:right="3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695" w:rsidRPr="00E227F4">
        <w:rPr>
          <w:rFonts w:ascii="Times New Roman" w:hAnsi="Times New Roman" w:cs="Times New Roman"/>
          <w:b/>
          <w:sz w:val="24"/>
          <w:szCs w:val="24"/>
        </w:rPr>
        <w:t>Art. 32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="00861695" w:rsidRPr="00E227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de</w:t>
      </w:r>
      <w:r w:rsidR="00861695" w:rsidRPr="00E227F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impunere</w:t>
      </w:r>
      <w:r w:rsidR="00861695" w:rsidRPr="00E227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constituie</w:t>
      </w:r>
      <w:r w:rsidR="00861695" w:rsidRPr="00E227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înştiinţare</w:t>
      </w:r>
      <w:proofErr w:type="spellEnd"/>
      <w:r w:rsidR="00861695" w:rsidRPr="00E227F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de</w:t>
      </w:r>
      <w:r w:rsidR="00861695" w:rsidRPr="00E227F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plată,</w:t>
      </w:r>
      <w:r w:rsidR="00861695" w:rsidRPr="00E227F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conform</w:t>
      </w:r>
      <w:r w:rsidR="00861695" w:rsidRPr="00E227F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Legii.</w:t>
      </w:r>
      <w:r w:rsidR="00861695" w:rsidRPr="00E227F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nr.</w:t>
      </w:r>
      <w:r w:rsidR="00861695" w:rsidRPr="00E227F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207/2015</w:t>
      </w:r>
      <w:r w:rsidR="00861695" w:rsidRPr="00E227F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privind Codul de procedură fiscală, cu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si</w:t>
      </w:r>
      <w:r w:rsidR="00861695" w:rsidRPr="00E227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695" w:rsidRPr="00E227F4">
        <w:rPr>
          <w:rFonts w:ascii="Times New Roman" w:hAnsi="Times New Roman" w:cs="Times New Roman"/>
          <w:sz w:val="24"/>
          <w:szCs w:val="24"/>
        </w:rPr>
        <w:t>ulterioare.</w:t>
      </w:r>
    </w:p>
    <w:p w:rsidR="00861695" w:rsidRPr="00E227F4" w:rsidRDefault="00E227F4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61695" w:rsidRPr="00E227F4">
        <w:rPr>
          <w:rFonts w:ascii="Times New Roman" w:hAnsi="Times New Roman" w:cs="Times New Roman"/>
          <w:b/>
          <w:sz w:val="24"/>
          <w:szCs w:val="24"/>
        </w:rPr>
        <w:t xml:space="preserve">Art. 33 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Consiliul Local </w:t>
      </w:r>
      <w:proofErr w:type="spellStart"/>
      <w:r w:rsidR="00861695" w:rsidRPr="00E227F4">
        <w:rPr>
          <w:rFonts w:ascii="Times New Roman" w:hAnsi="Times New Roman" w:cs="Times New Roman"/>
          <w:sz w:val="24"/>
          <w:szCs w:val="24"/>
        </w:rPr>
        <w:t>Darmanesti</w:t>
      </w:r>
      <w:proofErr w:type="spellEnd"/>
      <w:r w:rsidR="00861695" w:rsidRPr="00E227F4">
        <w:rPr>
          <w:rFonts w:ascii="Times New Roman" w:hAnsi="Times New Roman" w:cs="Times New Roman"/>
          <w:sz w:val="24"/>
          <w:szCs w:val="24"/>
        </w:rPr>
        <w:t xml:space="preserve"> poate acorda scut</w:t>
      </w:r>
      <w:r w:rsidR="00FC3F15">
        <w:rPr>
          <w:rFonts w:ascii="Times New Roman" w:hAnsi="Times New Roman" w:cs="Times New Roman"/>
          <w:sz w:val="24"/>
          <w:szCs w:val="24"/>
        </w:rPr>
        <w:t>iri sau reduceri la plata taxei</w:t>
      </w:r>
      <w:r w:rsidR="00861695" w:rsidRPr="00E227F4">
        <w:rPr>
          <w:rFonts w:ascii="Times New Roman" w:hAnsi="Times New Roman" w:cs="Times New Roman"/>
          <w:sz w:val="24"/>
          <w:szCs w:val="24"/>
        </w:rPr>
        <w:t xml:space="preserve"> de salubrizare, conform prevederilor actelor normative fiscale in vigoare.</w:t>
      </w:r>
    </w:p>
    <w:p w:rsidR="005D48D8" w:rsidRPr="00E227F4" w:rsidRDefault="005D48D8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48D8" w:rsidRPr="00E227F4" w:rsidRDefault="005D48D8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>GESTIONAREA VENITURILOR SI CHELTUILILOR AFERENTE SERVICIULUI DE SALUBRIZARE</w:t>
      </w:r>
    </w:p>
    <w:p w:rsidR="005D48D8" w:rsidRPr="00E227F4" w:rsidRDefault="005D48D8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685A1F" w:rsidRPr="00E227F4" w:rsidRDefault="00E227F4" w:rsidP="00E227F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5D48D8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3</w:t>
      </w:r>
      <w:r w:rsidR="00861695" w:rsidRPr="00E227F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D48D8"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3866" w:rsidRPr="00E227F4">
        <w:rPr>
          <w:rFonts w:ascii="Times New Roman" w:hAnsi="Times New Roman" w:cs="Times New Roman"/>
          <w:color w:val="000000"/>
          <w:sz w:val="24"/>
          <w:szCs w:val="24"/>
        </w:rPr>
        <w:t>Serviciului Econo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mic prin Compartimentul </w:t>
      </w:r>
      <w:r w:rsidR="005D48D8" w:rsidRPr="00E227F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mpozite si taxe, are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urmatoarele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atributii</w:t>
      </w:r>
      <w:proofErr w:type="spellEnd"/>
      <w:r w:rsidR="00685A1F" w:rsidRPr="00E227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147F" w:rsidRPr="00E227F4" w:rsidRDefault="00685A1F" w:rsidP="00685A1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urmăreşte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depunerea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declaraţiilor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 la persoanele juridice si asigură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inregistrarea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acestora;</w:t>
      </w:r>
    </w:p>
    <w:p w:rsidR="00685A1F" w:rsidRPr="00E227F4" w:rsidRDefault="00685A1F" w:rsidP="00685A1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incaseaza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sumele stabilite pentru plata taxei de salubrizare in temeiul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hotararii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Consiliului Local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Darmanesti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>;</w:t>
      </w:r>
    </w:p>
    <w:p w:rsidR="00685A1F" w:rsidRPr="00E227F4" w:rsidRDefault="00685A1F" w:rsidP="00685A1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>tine evidenta sumelor datorate-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incasate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defalcat pe tipuri de beneficiari;</w:t>
      </w:r>
    </w:p>
    <w:p w:rsidR="00685A1F" w:rsidRPr="00E227F4" w:rsidRDefault="00685A1F" w:rsidP="00685A1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intocmeste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evidenta persoanelor juridice beneficiare de scutiri/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facilitati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de la plata taxei de salubrizare;</w:t>
      </w:r>
    </w:p>
    <w:p w:rsidR="00685A1F" w:rsidRPr="00E227F4" w:rsidRDefault="00685A1F" w:rsidP="00685A1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27F4">
        <w:rPr>
          <w:rFonts w:ascii="Times New Roman" w:hAnsi="Times New Roman"/>
          <w:color w:val="000000"/>
          <w:sz w:val="24"/>
          <w:szCs w:val="24"/>
        </w:rPr>
        <w:t xml:space="preserve">tine evidenta pe baza de documente justificative a sumelor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platite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 ADIS </w:t>
      </w:r>
      <w:proofErr w:type="spellStart"/>
      <w:r w:rsidRPr="00E227F4">
        <w:rPr>
          <w:rFonts w:ascii="Times New Roman" w:hAnsi="Times New Roman"/>
          <w:color w:val="000000"/>
          <w:sz w:val="24"/>
          <w:szCs w:val="24"/>
        </w:rPr>
        <w:t>Bacau</w:t>
      </w:r>
      <w:proofErr w:type="spellEnd"/>
      <w:r w:rsidRPr="00E227F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85A1F" w:rsidRPr="00E227F4" w:rsidRDefault="00685A1F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Sumele </w:t>
      </w:r>
      <w:r w:rsidR="00D000B2" w:rsidRPr="00E227F4">
        <w:rPr>
          <w:rFonts w:ascii="Times New Roman" w:hAnsi="Times New Roman" w:cs="Times New Roman"/>
          <w:color w:val="000000"/>
          <w:sz w:val="24"/>
          <w:szCs w:val="24"/>
        </w:rPr>
        <w:t>obținute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din taxa de salubrizare vor fi utilizate exclusiv pentru acoperirea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cheltui</w:t>
      </w:r>
      <w:r w:rsidR="009C5240" w:rsidRPr="00E227F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lior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functionare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 serviciului de salubrizare. Plata contravalorii serviciului de salubrizare se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realizeaza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ADIS. </w:t>
      </w:r>
    </w:p>
    <w:p w:rsidR="00685A1F" w:rsidRPr="00E227F4" w:rsidRDefault="00685A1F" w:rsidP="00685A1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265B62" w:rsidRPr="00E227F4" w:rsidRDefault="00265B62" w:rsidP="005D48D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="000602CE" w:rsidRPr="00E227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SANCTIUNI </w:t>
      </w:r>
    </w:p>
    <w:p w:rsidR="000602CE" w:rsidRPr="00E227F4" w:rsidRDefault="00861695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35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Declaratiile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impunere si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declaratiile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rectif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icative depuse după expirarea termenelor stabilite, </w:t>
      </w:r>
      <w:r w:rsidR="00D000B2">
        <w:rPr>
          <w:rFonts w:ascii="Times New Roman" w:hAnsi="Times New Roman" w:cs="Times New Roman"/>
          <w:color w:val="000000"/>
          <w:sz w:val="24"/>
          <w:szCs w:val="24"/>
        </w:rPr>
        <w:t>precum si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declaraţiile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incomplete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/sau neconforme cu datele reale, se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sancţionează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legii.</w:t>
      </w:r>
    </w:p>
    <w:p w:rsidR="000602CE" w:rsidRPr="00E227F4" w:rsidRDefault="00861695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36 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Neplata taxei la termenele stabilite atrage calculul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plata majorărilor de întârziere, precum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aplicarea măsurilor de executare silită prevăzute de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legislatia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specială în vigoare.</w:t>
      </w:r>
    </w:p>
    <w:p w:rsidR="000602CE" w:rsidRPr="00E227F4" w:rsidRDefault="000602CE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5B62" w:rsidRPr="00E227F4" w:rsidRDefault="000602CE" w:rsidP="005D48D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DISPOZITII FINALE </w:t>
      </w:r>
    </w:p>
    <w:p w:rsidR="000602CE" w:rsidRPr="00E227F4" w:rsidRDefault="00861695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37 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Taxa 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>de salubrizare va fi actual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izată anual prin Hotărâre a Consiliului  Local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in  conformitate cu  prevederile legale.</w:t>
      </w:r>
    </w:p>
    <w:p w:rsidR="000602CE" w:rsidRPr="00E227F4" w:rsidRDefault="00861695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38 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C5240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cordul utilizatorilor 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non-</w:t>
      </w:r>
      <w:r w:rsidR="00894358" w:rsidRPr="00E227F4">
        <w:rPr>
          <w:rFonts w:ascii="Times New Roman" w:hAnsi="Times New Roman" w:cs="Times New Roman"/>
          <w:color w:val="000000"/>
          <w:sz w:val="24"/>
          <w:szCs w:val="24"/>
        </w:rPr>
        <w:t>casnic</w:t>
      </w:r>
      <w:r w:rsidR="00FC3F15">
        <w:rPr>
          <w:rFonts w:ascii="Times New Roman" w:hAnsi="Times New Roman" w:cs="Times New Roman"/>
          <w:color w:val="000000"/>
          <w:sz w:val="24"/>
          <w:szCs w:val="24"/>
        </w:rPr>
        <w:t>i pentru plata taxei</w:t>
      </w:r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se consideră dat ca urmare a necontestării hotărârii Consiliului Local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Darmanesti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privind instituirea </w:t>
      </w:r>
      <w:proofErr w:type="spellStart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administrarea taxei de salubrizare în termen de 30 de zile de la data </w:t>
      </w:r>
      <w:proofErr w:type="spellStart"/>
      <w:r w:rsidR="008C5FB4" w:rsidRPr="00E227F4">
        <w:rPr>
          <w:rFonts w:ascii="Times New Roman" w:hAnsi="Times New Roman" w:cs="Times New Roman"/>
          <w:color w:val="000000"/>
          <w:sz w:val="24"/>
          <w:szCs w:val="24"/>
        </w:rPr>
        <w:t>adoptarii</w:t>
      </w:r>
      <w:proofErr w:type="spellEnd"/>
      <w:r w:rsidR="000602CE"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FB4" w:rsidRPr="00E227F4">
        <w:rPr>
          <w:rFonts w:ascii="Times New Roman" w:hAnsi="Times New Roman" w:cs="Times New Roman"/>
          <w:color w:val="000000"/>
          <w:sz w:val="24"/>
          <w:szCs w:val="24"/>
        </w:rPr>
        <w:t>actului administrativ, cu respectarea procedurii prealabile.</w:t>
      </w:r>
    </w:p>
    <w:p w:rsidR="000602CE" w:rsidRDefault="00DE0448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7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7F4">
        <w:rPr>
          <w:rFonts w:ascii="Times New Roman" w:hAnsi="Times New Roman" w:cs="Times New Roman"/>
          <w:b/>
          <w:color w:val="000000"/>
          <w:sz w:val="24"/>
          <w:szCs w:val="24"/>
        </w:rPr>
        <w:t>Art. 39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Pentru anul </w:t>
      </w:r>
      <w:r w:rsidR="009C5240" w:rsidRPr="00E227F4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termenele curg de la data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adoptarii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 prezentei </w:t>
      </w:r>
      <w:proofErr w:type="spellStart"/>
      <w:r w:rsidRPr="00E227F4">
        <w:rPr>
          <w:rFonts w:ascii="Times New Roman" w:hAnsi="Times New Roman" w:cs="Times New Roman"/>
          <w:color w:val="000000"/>
          <w:sz w:val="24"/>
          <w:szCs w:val="24"/>
        </w:rPr>
        <w:t>hotarari</w:t>
      </w:r>
      <w:proofErr w:type="spellEnd"/>
      <w:r w:rsidRPr="00E227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27F4" w:rsidRDefault="00E227F4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27F4" w:rsidRPr="00E227F4" w:rsidRDefault="00E227F4" w:rsidP="000602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448" w:rsidRPr="00E227F4" w:rsidRDefault="00DE0448" w:rsidP="00DE0448">
      <w:pPr>
        <w:pStyle w:val="NoSpacing"/>
        <w:rPr>
          <w:rFonts w:ascii="Times New Roman" w:hAnsi="Times New Roman"/>
        </w:rPr>
      </w:pPr>
      <w:r w:rsidRPr="00E227F4">
        <w:rPr>
          <w:rFonts w:ascii="Times New Roman" w:hAnsi="Times New Roman"/>
        </w:rPr>
        <w:t xml:space="preserve">   </w:t>
      </w:r>
    </w:p>
    <w:p w:rsidR="00CD22F7" w:rsidRPr="00E227F4" w:rsidRDefault="00CD22F7" w:rsidP="00CD22F7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E227F4">
        <w:rPr>
          <w:rFonts w:ascii="Times New Roman" w:hAnsi="Times New Roman"/>
          <w:b/>
          <w:sz w:val="24"/>
          <w:szCs w:val="24"/>
        </w:rPr>
        <w:t xml:space="preserve">    </w:t>
      </w:r>
      <w:r w:rsidR="00E227F4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spellStart"/>
      <w:r w:rsidR="00E227F4">
        <w:rPr>
          <w:rFonts w:ascii="Times New Roman" w:hAnsi="Times New Roman"/>
          <w:b/>
          <w:sz w:val="24"/>
          <w:szCs w:val="24"/>
        </w:rPr>
        <w:t>Initiator</w:t>
      </w:r>
      <w:proofErr w:type="spellEnd"/>
      <w:r w:rsidR="00E227F4">
        <w:rPr>
          <w:rFonts w:ascii="Times New Roman" w:hAnsi="Times New Roman"/>
          <w:b/>
          <w:sz w:val="24"/>
          <w:szCs w:val="24"/>
        </w:rPr>
        <w:t xml:space="preserve">, </w:t>
      </w:r>
      <w:r w:rsidR="00E227F4">
        <w:rPr>
          <w:rFonts w:ascii="Times New Roman" w:hAnsi="Times New Roman"/>
          <w:b/>
          <w:sz w:val="24"/>
          <w:szCs w:val="24"/>
        </w:rPr>
        <w:tab/>
      </w:r>
      <w:r w:rsidR="00E227F4">
        <w:rPr>
          <w:rFonts w:ascii="Times New Roman" w:hAnsi="Times New Roman"/>
          <w:b/>
          <w:sz w:val="24"/>
          <w:szCs w:val="24"/>
        </w:rPr>
        <w:tab/>
      </w:r>
      <w:r w:rsidR="00E227F4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E227F4">
        <w:rPr>
          <w:rFonts w:ascii="Times New Roman" w:hAnsi="Times New Roman"/>
          <w:b/>
          <w:sz w:val="24"/>
          <w:szCs w:val="24"/>
        </w:rPr>
        <w:t xml:space="preserve">      </w:t>
      </w:r>
      <w:r w:rsidR="00E227F4">
        <w:rPr>
          <w:rFonts w:ascii="Times New Roman" w:hAnsi="Times New Roman"/>
          <w:b/>
          <w:sz w:val="24"/>
          <w:szCs w:val="24"/>
        </w:rPr>
        <w:t xml:space="preserve"> </w:t>
      </w:r>
      <w:r w:rsidRPr="00E227F4">
        <w:rPr>
          <w:rFonts w:ascii="Times New Roman" w:hAnsi="Times New Roman"/>
          <w:b/>
          <w:sz w:val="24"/>
          <w:szCs w:val="24"/>
        </w:rPr>
        <w:t xml:space="preserve">    Aviz de legalitate,</w:t>
      </w:r>
    </w:p>
    <w:p w:rsidR="00CD22F7" w:rsidRPr="00E227F4" w:rsidRDefault="00CD22F7" w:rsidP="00CD22F7">
      <w:pPr>
        <w:pStyle w:val="BodyText"/>
        <w:rPr>
          <w:b/>
        </w:rPr>
      </w:pPr>
      <w:r w:rsidRPr="00E227F4">
        <w:rPr>
          <w:b/>
        </w:rPr>
        <w:t xml:space="preserve">        </w:t>
      </w:r>
      <w:r w:rsidR="00E227F4">
        <w:rPr>
          <w:b/>
        </w:rPr>
        <w:t xml:space="preserve">                Primar                                    </w:t>
      </w:r>
      <w:r w:rsidRPr="00E227F4">
        <w:rPr>
          <w:b/>
        </w:rPr>
        <w:t xml:space="preserve">                  Secretarul General al UAT </w:t>
      </w:r>
      <w:proofErr w:type="spellStart"/>
      <w:r w:rsidRPr="00E227F4">
        <w:rPr>
          <w:b/>
        </w:rPr>
        <w:t>Oras</w:t>
      </w:r>
      <w:proofErr w:type="spellEnd"/>
      <w:r w:rsidRPr="00E227F4">
        <w:rPr>
          <w:b/>
        </w:rPr>
        <w:t xml:space="preserve"> </w:t>
      </w:r>
      <w:proofErr w:type="spellStart"/>
      <w:r w:rsidRPr="00E227F4">
        <w:rPr>
          <w:b/>
        </w:rPr>
        <w:t>Darmanesti</w:t>
      </w:r>
      <w:proofErr w:type="spellEnd"/>
      <w:r w:rsidRPr="00E227F4">
        <w:rPr>
          <w:b/>
        </w:rPr>
        <w:t>,</w:t>
      </w:r>
    </w:p>
    <w:p w:rsidR="00DE0448" w:rsidRPr="00E227F4" w:rsidRDefault="00CD22F7" w:rsidP="0048039C">
      <w:pPr>
        <w:pStyle w:val="BodyText"/>
        <w:rPr>
          <w:b/>
        </w:rPr>
      </w:pPr>
      <w:r w:rsidRPr="00E227F4">
        <w:rPr>
          <w:b/>
        </w:rPr>
        <w:t xml:space="preserve">             Ing. Constantin Toma                               </w:t>
      </w:r>
      <w:r w:rsidR="00E227F4">
        <w:rPr>
          <w:b/>
        </w:rPr>
        <w:t xml:space="preserve">                        </w:t>
      </w:r>
      <w:proofErr w:type="spellStart"/>
      <w:r w:rsidRPr="00E227F4">
        <w:rPr>
          <w:b/>
        </w:rPr>
        <w:t>Cichindel</w:t>
      </w:r>
      <w:proofErr w:type="spellEnd"/>
      <w:r w:rsidRPr="00E227F4">
        <w:rPr>
          <w:b/>
        </w:rPr>
        <w:t xml:space="preserve"> Cristinel</w:t>
      </w:r>
    </w:p>
    <w:sectPr w:rsidR="00DE0448" w:rsidRPr="00E227F4" w:rsidSect="00C36046">
      <w:pgSz w:w="11909" w:h="16834" w:code="9"/>
      <w:pgMar w:top="567" w:right="710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yphLessFon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000"/>
    <w:multiLevelType w:val="hybridMultilevel"/>
    <w:tmpl w:val="556469D6"/>
    <w:lvl w:ilvl="0" w:tplc="3E34BC8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E28B0"/>
    <w:multiLevelType w:val="hybridMultilevel"/>
    <w:tmpl w:val="2752D4F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AC2768E"/>
    <w:multiLevelType w:val="hybridMultilevel"/>
    <w:tmpl w:val="97EEEB06"/>
    <w:lvl w:ilvl="0" w:tplc="398AF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146AB"/>
    <w:multiLevelType w:val="hybridMultilevel"/>
    <w:tmpl w:val="80C8F2F4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8A4A27"/>
    <w:multiLevelType w:val="hybridMultilevel"/>
    <w:tmpl w:val="B94AD40A"/>
    <w:lvl w:ilvl="0" w:tplc="AF304C68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C447814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/>
        <w:spacing w:val="-30"/>
        <w:w w:val="99"/>
        <w:sz w:val="24"/>
        <w:szCs w:val="24"/>
        <w:lang w:val="en-US" w:eastAsia="en-US" w:bidi="en-US"/>
      </w:rPr>
    </w:lvl>
    <w:lvl w:ilvl="2" w:tplc="A9BC45B6">
      <w:numFmt w:val="bullet"/>
      <w:lvlText w:val="-"/>
      <w:lvlJc w:val="left"/>
      <w:pPr>
        <w:ind w:left="909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B55E7250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en-US"/>
      </w:rPr>
    </w:lvl>
    <w:lvl w:ilvl="4" w:tplc="C93A5748">
      <w:numFmt w:val="bullet"/>
      <w:lvlText w:val="•"/>
      <w:lvlJc w:val="left"/>
      <w:pPr>
        <w:ind w:left="3255" w:hanging="200"/>
      </w:pPr>
      <w:rPr>
        <w:rFonts w:hint="default"/>
        <w:lang w:val="en-US" w:eastAsia="en-US" w:bidi="en-US"/>
      </w:rPr>
    </w:lvl>
    <w:lvl w:ilvl="5" w:tplc="BEE86CF0">
      <w:numFmt w:val="bullet"/>
      <w:lvlText w:val="•"/>
      <w:lvlJc w:val="left"/>
      <w:pPr>
        <w:ind w:left="4330" w:hanging="200"/>
      </w:pPr>
      <w:rPr>
        <w:rFonts w:hint="default"/>
        <w:lang w:val="en-US" w:eastAsia="en-US" w:bidi="en-US"/>
      </w:rPr>
    </w:lvl>
    <w:lvl w:ilvl="6" w:tplc="BC14BE64">
      <w:numFmt w:val="bullet"/>
      <w:lvlText w:val="•"/>
      <w:lvlJc w:val="left"/>
      <w:pPr>
        <w:ind w:left="5405" w:hanging="200"/>
      </w:pPr>
      <w:rPr>
        <w:rFonts w:hint="default"/>
        <w:lang w:val="en-US" w:eastAsia="en-US" w:bidi="en-US"/>
      </w:rPr>
    </w:lvl>
    <w:lvl w:ilvl="7" w:tplc="97C28116">
      <w:numFmt w:val="bullet"/>
      <w:lvlText w:val="•"/>
      <w:lvlJc w:val="left"/>
      <w:pPr>
        <w:ind w:left="6480" w:hanging="200"/>
      </w:pPr>
      <w:rPr>
        <w:rFonts w:hint="default"/>
        <w:lang w:val="en-US" w:eastAsia="en-US" w:bidi="en-US"/>
      </w:rPr>
    </w:lvl>
    <w:lvl w:ilvl="8" w:tplc="AED4AE40">
      <w:numFmt w:val="bullet"/>
      <w:lvlText w:val="•"/>
      <w:lvlJc w:val="left"/>
      <w:pPr>
        <w:ind w:left="7556" w:hanging="200"/>
      </w:pPr>
      <w:rPr>
        <w:rFonts w:hint="default"/>
        <w:lang w:val="en-US" w:eastAsia="en-US" w:bidi="en-US"/>
      </w:rPr>
    </w:lvl>
  </w:abstractNum>
  <w:abstractNum w:abstractNumId="5" w15:restartNumberingAfterBreak="0">
    <w:nsid w:val="21CF4C8F"/>
    <w:multiLevelType w:val="multilevel"/>
    <w:tmpl w:val="F6CA408A"/>
    <w:lvl w:ilvl="0">
      <w:start w:val="11"/>
      <w:numFmt w:val="bullet"/>
      <w:lvlText w:val="-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78757A"/>
    <w:multiLevelType w:val="hybridMultilevel"/>
    <w:tmpl w:val="AE629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0E6473"/>
    <w:multiLevelType w:val="hybridMultilevel"/>
    <w:tmpl w:val="E7262654"/>
    <w:lvl w:ilvl="0" w:tplc="FE78F5F8">
      <w:start w:val="1"/>
      <w:numFmt w:val="lowerLetter"/>
      <w:lvlText w:val="%1)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AC6013"/>
    <w:multiLevelType w:val="hybridMultilevel"/>
    <w:tmpl w:val="03CE4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056D"/>
    <w:multiLevelType w:val="hybridMultilevel"/>
    <w:tmpl w:val="1F405FF4"/>
    <w:lvl w:ilvl="0" w:tplc="43C6991A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99A1920"/>
    <w:multiLevelType w:val="hybridMultilevel"/>
    <w:tmpl w:val="CEA2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A463E"/>
    <w:multiLevelType w:val="hybridMultilevel"/>
    <w:tmpl w:val="6080A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0BE2"/>
    <w:multiLevelType w:val="hybridMultilevel"/>
    <w:tmpl w:val="EB34C038"/>
    <w:lvl w:ilvl="0" w:tplc="EEF27DFE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13" w15:restartNumberingAfterBreak="0">
    <w:nsid w:val="463222DD"/>
    <w:multiLevelType w:val="hybridMultilevel"/>
    <w:tmpl w:val="A94096FC"/>
    <w:lvl w:ilvl="0" w:tplc="BE6CA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863272"/>
    <w:multiLevelType w:val="hybridMultilevel"/>
    <w:tmpl w:val="38AA5BC6"/>
    <w:lvl w:ilvl="0" w:tplc="72C43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139FA"/>
    <w:multiLevelType w:val="multilevel"/>
    <w:tmpl w:val="E01299DE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5920F9"/>
    <w:multiLevelType w:val="hybridMultilevel"/>
    <w:tmpl w:val="1060914E"/>
    <w:lvl w:ilvl="0" w:tplc="CA6AB938">
      <w:start w:val="1"/>
      <w:numFmt w:val="lowerLetter"/>
      <w:lvlText w:val="%1)"/>
      <w:lvlJc w:val="left"/>
      <w:pPr>
        <w:ind w:left="720" w:hanging="360"/>
      </w:pPr>
      <w:rPr>
        <w:rFonts w:ascii="GlyphLessFont" w:hAnsi="GlyphLessFont" w:cs="GlyphLessFont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61B85"/>
    <w:multiLevelType w:val="hybridMultilevel"/>
    <w:tmpl w:val="D564DB50"/>
    <w:lvl w:ilvl="0" w:tplc="C4BAB832">
      <w:start w:val="1"/>
      <w:numFmt w:val="lowerLetter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F2813"/>
    <w:multiLevelType w:val="multilevel"/>
    <w:tmpl w:val="59E4E20C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17"/>
  </w:num>
  <w:num w:numId="11">
    <w:abstractNumId w:val="14"/>
  </w:num>
  <w:num w:numId="12">
    <w:abstractNumId w:val="16"/>
  </w:num>
  <w:num w:numId="13">
    <w:abstractNumId w:val="13"/>
  </w:num>
  <w:num w:numId="14">
    <w:abstractNumId w:val="4"/>
  </w:num>
  <w:num w:numId="15">
    <w:abstractNumId w:val="9"/>
  </w:num>
  <w:num w:numId="16">
    <w:abstractNumId w:val="5"/>
  </w:num>
  <w:num w:numId="17">
    <w:abstractNumId w:val="18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6D"/>
    <w:rsid w:val="000458FC"/>
    <w:rsid w:val="00046154"/>
    <w:rsid w:val="00054AB9"/>
    <w:rsid w:val="000602CE"/>
    <w:rsid w:val="000800DA"/>
    <w:rsid w:val="000A089A"/>
    <w:rsid w:val="000E3129"/>
    <w:rsid w:val="0012335A"/>
    <w:rsid w:val="001368FC"/>
    <w:rsid w:val="00154EB1"/>
    <w:rsid w:val="00174DFA"/>
    <w:rsid w:val="0017506D"/>
    <w:rsid w:val="00193E27"/>
    <w:rsid w:val="001A6DEA"/>
    <w:rsid w:val="001B7C7B"/>
    <w:rsid w:val="001C0BA8"/>
    <w:rsid w:val="001C3866"/>
    <w:rsid w:val="0023561D"/>
    <w:rsid w:val="00246642"/>
    <w:rsid w:val="00265B62"/>
    <w:rsid w:val="002920C6"/>
    <w:rsid w:val="002B62B0"/>
    <w:rsid w:val="002D7F47"/>
    <w:rsid w:val="002E1D4B"/>
    <w:rsid w:val="002F6D82"/>
    <w:rsid w:val="00305498"/>
    <w:rsid w:val="00306E44"/>
    <w:rsid w:val="00325566"/>
    <w:rsid w:val="003844B9"/>
    <w:rsid w:val="003A4246"/>
    <w:rsid w:val="003C7AFC"/>
    <w:rsid w:val="003E0ABC"/>
    <w:rsid w:val="003F7AA1"/>
    <w:rsid w:val="00406FEA"/>
    <w:rsid w:val="00427D7E"/>
    <w:rsid w:val="00455291"/>
    <w:rsid w:val="0046341B"/>
    <w:rsid w:val="00475509"/>
    <w:rsid w:val="004755F0"/>
    <w:rsid w:val="0048039C"/>
    <w:rsid w:val="004807E4"/>
    <w:rsid w:val="004A2AA2"/>
    <w:rsid w:val="004A5B6F"/>
    <w:rsid w:val="004C04EC"/>
    <w:rsid w:val="00512864"/>
    <w:rsid w:val="00515B68"/>
    <w:rsid w:val="0058543B"/>
    <w:rsid w:val="005B4346"/>
    <w:rsid w:val="005B557C"/>
    <w:rsid w:val="005B645B"/>
    <w:rsid w:val="005B6541"/>
    <w:rsid w:val="005D48D8"/>
    <w:rsid w:val="005F70B9"/>
    <w:rsid w:val="00603BF7"/>
    <w:rsid w:val="006076B8"/>
    <w:rsid w:val="00607E07"/>
    <w:rsid w:val="00641B8F"/>
    <w:rsid w:val="0065113D"/>
    <w:rsid w:val="00652178"/>
    <w:rsid w:val="00657AC7"/>
    <w:rsid w:val="00685A1F"/>
    <w:rsid w:val="00691C2A"/>
    <w:rsid w:val="006A3024"/>
    <w:rsid w:val="00703FEE"/>
    <w:rsid w:val="00712343"/>
    <w:rsid w:val="00722033"/>
    <w:rsid w:val="007D7CD2"/>
    <w:rsid w:val="0083412B"/>
    <w:rsid w:val="008441C4"/>
    <w:rsid w:val="008557FA"/>
    <w:rsid w:val="00861695"/>
    <w:rsid w:val="00862F6F"/>
    <w:rsid w:val="00873D11"/>
    <w:rsid w:val="008929CE"/>
    <w:rsid w:val="008930C0"/>
    <w:rsid w:val="00894358"/>
    <w:rsid w:val="008A095C"/>
    <w:rsid w:val="008C43E8"/>
    <w:rsid w:val="008C5FB4"/>
    <w:rsid w:val="008E2269"/>
    <w:rsid w:val="00922BE2"/>
    <w:rsid w:val="009557FA"/>
    <w:rsid w:val="00963F41"/>
    <w:rsid w:val="00975A05"/>
    <w:rsid w:val="00976CDD"/>
    <w:rsid w:val="009C5240"/>
    <w:rsid w:val="009C7614"/>
    <w:rsid w:val="009E1C1B"/>
    <w:rsid w:val="009F4390"/>
    <w:rsid w:val="00A03175"/>
    <w:rsid w:val="00A5102D"/>
    <w:rsid w:val="00A85529"/>
    <w:rsid w:val="00AB56EB"/>
    <w:rsid w:val="00AE5BA7"/>
    <w:rsid w:val="00B0793D"/>
    <w:rsid w:val="00B24EBF"/>
    <w:rsid w:val="00B3147F"/>
    <w:rsid w:val="00B4245F"/>
    <w:rsid w:val="00B73C81"/>
    <w:rsid w:val="00B9472C"/>
    <w:rsid w:val="00BE0937"/>
    <w:rsid w:val="00BE0A8D"/>
    <w:rsid w:val="00BE3D65"/>
    <w:rsid w:val="00C17366"/>
    <w:rsid w:val="00C30C29"/>
    <w:rsid w:val="00C36046"/>
    <w:rsid w:val="00C41A95"/>
    <w:rsid w:val="00C457E8"/>
    <w:rsid w:val="00C90C95"/>
    <w:rsid w:val="00C9380A"/>
    <w:rsid w:val="00CD22F7"/>
    <w:rsid w:val="00D000B2"/>
    <w:rsid w:val="00D05C41"/>
    <w:rsid w:val="00D30C99"/>
    <w:rsid w:val="00D318F8"/>
    <w:rsid w:val="00D51BFD"/>
    <w:rsid w:val="00D552F3"/>
    <w:rsid w:val="00D63C47"/>
    <w:rsid w:val="00D6673C"/>
    <w:rsid w:val="00DA569A"/>
    <w:rsid w:val="00DA57E1"/>
    <w:rsid w:val="00DD1C37"/>
    <w:rsid w:val="00DD3DE5"/>
    <w:rsid w:val="00DE0448"/>
    <w:rsid w:val="00E0191F"/>
    <w:rsid w:val="00E027DA"/>
    <w:rsid w:val="00E03809"/>
    <w:rsid w:val="00E10359"/>
    <w:rsid w:val="00E138B3"/>
    <w:rsid w:val="00E227F4"/>
    <w:rsid w:val="00E62DC0"/>
    <w:rsid w:val="00ED5622"/>
    <w:rsid w:val="00F059B6"/>
    <w:rsid w:val="00F349BB"/>
    <w:rsid w:val="00FC3F15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FAE4"/>
  <w15:docId w15:val="{E8621100-6677-436A-A353-CFC822B5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33"/>
    <w:rPr>
      <w:rFonts w:ascii="Tahoma" w:hAnsi="Tahoma" w:cs="Tahoma"/>
      <w:sz w:val="16"/>
      <w:szCs w:val="16"/>
      <w:lang w:val="ro-RO"/>
    </w:rPr>
  </w:style>
  <w:style w:type="paragraph" w:customStyle="1" w:styleId="NoSpacing1">
    <w:name w:val="No Spacing1"/>
    <w:uiPriority w:val="1"/>
    <w:qFormat/>
    <w:rsid w:val="00BE0A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1B7C7B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B7C7B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8930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8930C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7D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E01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slitbdy">
    <w:name w:val="s_lit_bdy"/>
    <w:basedOn w:val="DefaultParagraphFont"/>
    <w:rsid w:val="00A031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6971-7B93-45E9-AFF0-2C360EFC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6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Darmanesti_8</cp:lastModifiedBy>
  <cp:revision>9</cp:revision>
  <cp:lastPrinted>2022-12-23T08:24:00Z</cp:lastPrinted>
  <dcterms:created xsi:type="dcterms:W3CDTF">2019-02-23T12:53:00Z</dcterms:created>
  <dcterms:modified xsi:type="dcterms:W3CDTF">2022-12-23T16:43:00Z</dcterms:modified>
</cp:coreProperties>
</file>